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кассационной жалобы арбитражный суд кассационной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арбитражного суда первой инстанции и (или) постановление суда апелляционной инстанции без изменения, а кассационную жалобу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отменить или изменить решение суда первой инстанции и (или) постановление суда апелляционной инстанции полностью или в части и направить дело на новое рассмотрение в соответствующий арбитражный суд, решение, постановление которого отменено или изменено, если этим судом нарушены нормы процессуального права, являющиеся в соответствии с частью 4 статьи 288 настоящего Кодекса основанием для отмены решения, постановления, или если выводы, содержащиеся в обжалуемых решении, постановлении, не соответствуют установленным по делу фактическим обстоятельствам или имеющимся в деле доказательствам. При направлении дела на новое рассмотрение суд может указать на необходимость рассмотрения дела коллегиальным составом судей и (или) в ином судебном составе;</w:t>
      </w:r>
    </w:p>
    <w:p>
      <w:pPr>
        <w:spacing w:after="120"/>
        <w:ind w:firstLine="709"/>
      </w:pPr>
      <w:r>
        <w:rPr>
          <w:sz w:val="24"/>
        </w:rPr>
        <w:t xml:space="preserve">4) отменить или изменить решение суда первой инстанции и (или)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округа,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доказательствам;</w:t>
      </w:r>
    </w:p>
    <w:p>
      <w:pPr>
        <w:spacing w:after="120"/>
        <w:ind w:firstLine="709"/>
      </w:pPr>
      <w:r>
        <w:rPr>
          <w:sz w:val="24"/>
        </w:rPr>
        <w:t xml:space="preserve">5) оставить в силе одно из ранее принятых по делу решений или постановлений;</w:t>
      </w:r>
    </w:p>
    <w:p>
      <w:pPr>
        <w:spacing w:after="120"/>
        <w:ind w:firstLine="709"/>
      </w:pPr>
      <w:r>
        <w:rPr>
          <w:sz w:val="24"/>
        </w:rPr>
        <w:t xml:space="preserve">6) отменить решение суда первой инстанции и (или)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рассматривающий дело в кассационной инстанции, не вправе устанавливать или считать доказанными обстоятельства, которые не были установлены в решении или постановлении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другими, о том, какая норма материального права должна быть применена и какое решение, постановление должно быть принято при новом рассмотрении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287</dc:title>
  <dc:creator>АРБИТРАЖ! · arbi.ru</dc:creator>
  <cp:lastModifiedBy>АРБИТРАЖ!</cp:lastModifiedBy>
  <dcterms:created xsi:type="dcterms:W3CDTF">2026-10-22T14:32:45.109Z</dcterms:created>
</cp:coreProperties>
</file>