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290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19.07.2009 N 205-ФЗ)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Кассационные жалобы на определения арбитражного суда первой и апелляционной инстанций, поданные по правилам, установленным настоящим Кодексом , рассматриваются арбитражным судом кассационной инстанции в порядке, предусмотренном настоящей главой для рассмотрения кассационных жалоб на решения и постановления соответствующего арбитражного суда.</w:t>
      </w:r>
    </w:p>
    <w:p>
      <w:pPr>
        <w:spacing w:after="120"/>
        <w:ind w:firstLine="709"/>
      </w:pPr>
      <w:r>
        <w:rPr>
          <w:sz w:val="24"/>
        </w:rPr>
        <w:t xml:space="preserve">2. Кассационные жалобы на определения арбитражного суда апелляционной инстанции о возвращении апелляционной жалобы и на другие препятствующие дальнейшему движению дела определения рассматриваются арбитражным судом кассационной инстанции в срок, не превышающий пятнадцати дней со дня поступления такой жалобы в арбитражный суд кассационной инстанции.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290</dc:title>
  <dc:creator>АРБИТРАЖ! · arbi.ru</dc:creator>
  <cp:lastModifiedBy>АРБИТРАЖ!</cp:lastModifiedBy>
  <dcterms:created xsi:type="dcterms:W3CDTF">2026-10-22T14:06:30.408Z</dcterms:created>
</cp:coreProperties>
</file>