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291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Жалобы на определение арбитражного суда кассационной инстанции о возвращении кассационной жалобы, поданные в арбитражный суд кассационной инстанции, вынесший такое определение, рассматриваются коллегиальным составом судей этого же суда в десятидневный срок со дня поступления жалобы в суд без извещения сторон.</w:t>
      </w:r>
    </w:p>
    <w:p>
      <w:pPr>
        <w:spacing w:after="120"/>
        <w:ind w:firstLine="709"/>
      </w:pPr>
      <w:r>
        <w:rPr>
          <w:sz w:val="24"/>
        </w:rPr>
        <w:t xml:space="preserve">2. Жалобы на другие определения арбитражного суда кассационной инстанции, обжалование которых предусмотрено настоящим Кодексом , рассматриваются тем же арбитражным судом кассационной инстанции в ином судебном составе в порядке, предусмотренном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3. По результатам рассмотрения жалобы на определение арбитражного суда кассационной инстанции выносится определение.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291</dc:title>
  <dc:creator>АРБИТРАЖ! · arbi.ru</dc:creator>
  <cp:lastModifiedBy>АРБИТРАЖ!</cp:lastModifiedBy>
  <dcterms:created xsi:type="dcterms:W3CDTF">2026-10-22T09:47:48.354Z</dcterms:created>
</cp:coreProperties>
</file>