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Судопроизводство в арбитражном суде осуществляется на основе равноправия сторон.</w:t>
      </w:r>
    </w:p>
    <w:p>
      <w:pPr>
        <w:spacing w:after="120"/>
        <w:ind w:firstLine="709"/>
      </w:pPr>
      <w:r>
        <w:rPr>
          <w:sz w:val="24"/>
        </w:rPr>
        <w:t xml:space="preserve">2. Стороны пользуются равными правами на заявление отводов и ходатайств, представление доказательств, участие в их исследовании, выступление в судебных прениях, представление арбитражному суду своих доводов и объяснений, осуществление иных процессуальных прав и обязанностей, предусмотренных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3. Арбитражный суд не вправе своими действиями ставить какую-либо из сторон в преимущественное положение, равно как и умалять права одной из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</dc:title>
  <dc:creator>АРБИТРАЖ! · arbi.ru</dc:creator>
  <cp:lastModifiedBy>АРБИТРАЖ!</cp:lastModifiedBy>
  <dcterms:created xsi:type="dcterms:W3CDTF">2026-10-22T17:19:25.878Z</dcterms:created>
</cp:coreProperties>
</file>