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291.9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В определении судьи Верховного Суда Российской Федерации о передаче кассационных жалобы, представления вместе с делом для рассмотрения в судебном заседании Судебной коллегии Верховного Суда Российской Федерации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дата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2) фамилия и инициалы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лица, подавшего кассационные жалобу, представление, его процессуальное положение, адрес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сведения об обжалуемом судебном акте, дата его принятия и вступления в законную силу;</w:t>
      </w:r>
    </w:p>
    <w:p>
      <w:pPr>
        <w:spacing w:after="120"/>
        <w:ind w:firstLine="709"/>
      </w:pPr>
      <w:r>
        <w:rPr>
          <w:sz w:val="24"/>
        </w:rPr>
        <w:t xml:space="preserve">5) содержание дела, по которому принят обжалуемый судебный акт;</w:t>
      </w:r>
    </w:p>
    <w:p>
      <w:pPr>
        <w:spacing w:after="120"/>
        <w:ind w:firstLine="709"/>
      </w:pPr>
      <w:r>
        <w:rPr>
          <w:sz w:val="24"/>
        </w:rPr>
        <w:t xml:space="preserve">6) мотивированные основания передачи кассационных жалобы, представления вместе с делом для рассмотрения в судебном заседании Судебной коллегии Верховного Суда Российской Федерации и (или) для решения вопроса о присуждении компенсации за нарушение права на судопроизводство в разумный срок, а также общая продолжительность судопроизводства по делу.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291.9</dc:title>
  <dc:creator>АРБИТРАЖ! · arbi.ru</dc:creator>
  <cp:lastModifiedBy>АРБИТРАЖ!</cp:lastModifiedBy>
  <dcterms:created xsi:type="dcterms:W3CDTF">2026-10-22T20:48:26.541Z</dcterms:created>
</cp:coreProperties>
</file>