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</w:t>
      </w:r>
    </w:p>
    <w:p>
      <w:pPr>
        <w:spacing w:after="120"/>
        <w:ind w:firstLine="709"/>
      </w:pPr>
      <w:r>
        <w:rPr>
          <w:sz w:val="24"/>
        </w:rPr>
        <w:t xml:space="preserve">2. Основанием для присуждения Судебной коллегией Верховного Суда Российской Федерации компенсации за нарушение права на судопроизводство в разумный срок является нарушение права на судопроизводство в разумный срок по причинам, не зависящим от лица, обратившегося с требованием о присуждении компенсации.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291.11</dc:title>
  <dc:creator>АРБИТРАЖ! · arbi.ru</dc:creator>
  <cp:lastModifiedBy>АРБИТРАЖ!</cp:lastModifiedBy>
  <dcterms:created xsi:type="dcterms:W3CDTF">2026-10-22T22:26:00.876Z</dcterms:created>
</cp:coreProperties>
</file>