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В определении судьи Верховного Суда Российской Федерации о передаче надзорных жалобы, представления вместе с делом для рассмотрения в судебном заседании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фамилия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обжалуемых судебных актах;</w:t>
      </w:r>
    </w:p>
    <w:p>
      <w:pPr>
        <w:spacing w:after="120"/>
        <w:ind w:firstLine="709"/>
      </w:pPr>
      <w:r>
        <w:rPr>
          <w:sz w:val="24"/>
        </w:rPr>
        <w:t xml:space="preserve">5) содержание дела, по которому приняты обжалуемые судебные акты;</w:t>
      </w:r>
    </w:p>
    <w:p>
      <w:pPr>
        <w:spacing w:after="120"/>
        <w:ind w:firstLine="709"/>
      </w:pPr>
      <w:r>
        <w:rPr>
          <w:sz w:val="24"/>
        </w:rPr>
        <w:t xml:space="preserve">6) основания передачи надзорных жалобы, представления вместе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предложения судьи, вынесшего определение.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передает вынесенное им определение, а также надзорные жалобу, представление вместе с делом в Президиум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308.7</dc:title>
  <dc:creator>АРБИТРАЖ! · arbi.ru</dc:creator>
  <cp:lastModifiedBy>АРБИТРАЖ!</cp:lastModifiedBy>
  <dcterms:created xsi:type="dcterms:W3CDTF">2026-10-22T08:04:56.030Z</dcterms:created>
</cp:coreProperties>
</file>