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при разбирательстве дела обязан непосредственно исследовать все доказательства по делу.</w:t>
      </w:r>
    </w:p>
    <w:p>
      <w:pPr>
        <w:spacing w:after="120"/>
        <w:ind w:firstLine="709"/>
      </w:pPr>
      <w:r>
        <w:rPr>
          <w:sz w:val="24"/>
        </w:rPr>
        <w:t xml:space="preserve">2. Доказательства, которые не были предметом исследования в судебном заседании, не могут быть положены арбитражным судом в основу принимаемого судебного акта.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10</dc:title>
  <dc:creator>АРБИТРАЖ! · arbi.ru</dc:creator>
  <cp:lastModifiedBy>АРБИТРАЖ!</cp:lastModifiedBy>
  <dcterms:created xsi:type="dcterms:W3CDTF">2026-10-22T11:37:30.364Z</dcterms:created>
</cp:coreProperties>
</file>