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Вопрос о повороте исполнения судебного акта разрешается арбитражным судом, принявшим новый судебный акт, которым отменен или изменен ранее принятый судебный акт.</w:t>
      </w:r>
    </w:p>
    <w:p>
      <w:pPr>
        <w:spacing w:after="120"/>
        <w:ind w:firstLine="709"/>
      </w:pPr>
      <w:r>
        <w:rPr>
          <w:sz w:val="24"/>
        </w:rPr>
        <w:t xml:space="preserve">2. Если в постановлении об отмене или изменении судебного акта нет указаний на поворот его исполнения, ответчик вправе подать соответствующее заявление в арбитражный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Заявление о повороте исполнения судебного акта рассматривается в порядке, предусмотренном статьей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повороте исполнения судебного акта или об отказе в повороте исполнения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первой инстанции выдает исполнительный лист на возврат взысканных денежных средств, имущества или его стоимости по заявлению организации, гражданина. К заявлению прилагается документ, подтверждающий исполнение ранее принятого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326</dc:title>
  <dc:creator>АРБИТРАЖ! · arbi.ru</dc:creator>
  <cp:lastModifiedBy>АРБИТРАЖ!</cp:lastModifiedBy>
  <dcterms:created xsi:type="dcterms:W3CDTF">2026-10-23T21:10:41.987Z</dcterms:created>
</cp:coreProperties>
</file>