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применении норм иностранного права арбитражный суд устанавливает содержание этих норм в соответствии с их официальным толкованием, практикой применения и доктриной в соответствующем иностранном государстве.</w:t>
      </w:r>
    </w:p>
    <w:p>
      <w:pPr>
        <w:spacing w:after="120"/>
        <w:ind w:firstLine="709"/>
      </w:pPr>
      <w:r>
        <w:rPr>
          <w:sz w:val="24"/>
        </w:rPr>
        <w:t xml:space="preserve">2.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экспертов.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деле, могут представлять документы, подтверждающие содержание норм иностранного права, на которые они ссылаются в обоснование своих требований или возражений, и иным образом содействовать суду в установлении содержания этих норм.</w:t>
      </w:r>
    </w:p>
    <w:p>
      <w:pPr>
        <w:spacing w:after="120"/>
        <w:ind w:firstLine="709"/>
      </w:pPr>
      <w:r>
        <w:rPr>
          <w:sz w:val="24"/>
        </w:rPr>
        <w:t xml:space="preserve">По требованиям, связанным с осуществлением сторонами предпринимательской и иной экономической деятельности, обязанность доказывания содержания норм иностранного права может быть возложена судом на стороны.</w:t>
      </w:r>
    </w:p>
    <w:p>
      <w:pPr>
        <w:spacing w:after="120"/>
        <w:ind w:firstLine="709"/>
      </w:pPr>
      <w:r>
        <w:rPr>
          <w:sz w:val="24"/>
        </w:rPr>
        <w:t xml:space="preserve">3. Если содержание норм иностранного права, несмотря на принятые в соответствии с настоящей статьей меры, в разумные сроки не установлено, арбитражный суд применяет соответствующие нормы российского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</dc:title>
  <dc:creator>АРБИТРАЖ! · arbi.ru</dc:creator>
  <cp:lastModifiedBy>АРБИТРАЖ!</cp:lastModifiedBy>
  <dcterms:created xsi:type="dcterms:W3CDTF">2026-10-23T11:17:19.228Z</dcterms:created>
</cp:coreProperties>
</file>