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Состав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Состав суда для рассмотрения каждого дела, в том числе с участием арбитражных заседателей, формируется с учетом нагрузки и специализации судей путем использования автоматизированной информационной системы. В случае невозможности использования в суде автоматизированной информационной системы допускается формирование состава суда в ином порядке, исключающем влияние на его формирование лиц, заинтересованных в исходе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Дело, рассмотрение которого начато одним судьей или составом суда, должно быть рассмотрено этим же судьей или составом суда.</w:t>
      </w:r>
    </w:p>
    <w:p>
      <w:pPr>
        <w:spacing w:after="120"/>
        <w:ind w:firstLine="709"/>
      </w:pPr>
      <w:r>
        <w:rPr>
          <w:sz w:val="24"/>
        </w:rPr>
        <w:t xml:space="preserve">3. Замена судьи, арбитражного заседателя или одного из судей, арбитражных заседателей возможна в случае:</w:t>
      </w:r>
    </w:p>
    <w:p>
      <w:pPr>
        <w:spacing w:after="120"/>
        <w:ind w:firstLine="709"/>
      </w:pPr>
      <w:r>
        <w:rPr>
          <w:sz w:val="24"/>
        </w:rPr>
        <w:t xml:space="preserve">1) заявленного и удовлетворенного в порядке, установленном настоящим Кодексом , самоотвода или отвода судьи, арбитражного заседателя;</w:t>
      </w:r>
    </w:p>
    <w:p>
      <w:pPr>
        <w:spacing w:after="120"/>
        <w:ind w:firstLine="709"/>
      </w:pPr>
      <w:r>
        <w:rPr>
          <w:sz w:val="24"/>
        </w:rPr>
        <w:t xml:space="preserve">2) длительного отсутствия судьи, арбитражного заседателя ввиду болезни, отпуска, пребывания на учебе, нахождения в служебной командировке.</w:t>
      </w:r>
    </w:p>
    <w:p>
      <w:pPr>
        <w:spacing w:after="120"/>
        <w:ind w:firstLine="709"/>
      </w:pPr>
      <w:r>
        <w:rPr>
          <w:sz w:val="24"/>
        </w:rPr>
        <w:t xml:space="preserve">4. Замена судьи, арбитражного заседателя производится также в случаях прекращения или приостановления их полномочий по основаниям, установленным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5. В случае замены судьи, арбитражного заседателя в процессе рассмотрения дела судебное разбирательство должно быть произведено с самого начала. Совершение процессуальных действий в случаях , не терпящих отлагательства, в том числе принятие искового заявления или заявления и возбуждение производства по делу, рассмотрение заявления об обеспечении иска, отложение судебного разбирательства, одним судьей вместо другого судьи в порядке взаимозаменяемости не является заменой судьи.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18</dc:title>
  <dc:creator>АРБИТРАЖ! · arbi.ru</dc:creator>
  <cp:lastModifiedBy>АРБИТРАЖ!</cp:lastModifiedBy>
  <dcterms:created xsi:type="dcterms:W3CDTF">2026-10-22T20:15:11.419Z</dcterms:created>
</cp:coreProperties>
</file>