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(или) необходимостью использования специальных знаний в сфере экономики, финансов, управления.</w:t>
      </w:r>
    </w:p>
    <w:p>
      <w:pPr>
        <w:spacing w:after="120"/>
        <w:ind w:firstLine="709"/>
      </w:pPr>
      <w:r>
        <w:rPr>
          <w:sz w:val="24"/>
        </w:rPr>
        <w:t xml:space="preserve">2. Ходатайство о рассмотрении дела с участием арбитражных заседателей должно содержать обоснование особой сложности дела и (или) необходимости использования специальных знаний и может быть заявлено стороной не позднее чем за один месяц до начала судебного разбирательства, в том числе при каждом новом рассмотрении дела.</w:t>
      </w:r>
    </w:p>
    <w:p>
      <w:pPr>
        <w:spacing w:after="120"/>
        <w:ind w:firstLine="709"/>
      </w:pPr>
      <w:r>
        <w:rPr>
          <w:sz w:val="24"/>
        </w:rPr>
        <w:t xml:space="preserve">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разбирательству.</w:t>
      </w:r>
    </w:p>
    <w:p>
      <w:pPr>
        <w:spacing w:after="120"/>
        <w:ind w:firstLine="709"/>
      </w:pPr>
      <w:r>
        <w:rPr>
          <w:sz w:val="24"/>
        </w:rPr>
        <w:t xml:space="preserve">3. Ходатайство о рассмотрении дела с участием арбитражных заседателей разрешается арбитражным судом в порядке, установленном статьей 159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если ходатайство о рассмотрении дела с участием арбитражных заседателей удовлетворено, кандидатуры арбитражных заседателей определяются из списка арбитражных заседателей, утвержденного в установленном федеральным законом порядке, с учетом их специализации, путем случайной выборки с использованием автоматизированной информационной системы или иным способом, применяемым в арбитражном суде для формирования состава суда.</w:t>
      </w:r>
    </w:p>
    <w:p>
      <w:pPr>
        <w:spacing w:after="120"/>
        <w:ind w:firstLine="709"/>
      </w:pPr>
      <w:r>
        <w:rPr>
          <w:sz w:val="24"/>
        </w:rPr>
        <w:t xml:space="preserve">4. Наличие случая, предусмотренного частями 3 и 4 статьи 18 настоящего Кодекса, является основанием для замены арбитражного заседателя. В этом случае другая кандидатура арбитражного заседателя определяется в порядке, установленном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заседателей, указанное дело рассматривается судьей единолично.</w:t>
      </w:r>
    </w:p>
    <w:p>
      <w:pPr>
        <w:spacing w:after="120"/>
        <w:ind w:firstLine="709"/>
      </w:pPr>
      <w:r>
        <w:rPr>
          <w:sz w:val="24"/>
        </w:rPr>
        <w:t xml:space="preserve">В случае неявки в судебное заседание одного или двух арбитражных заседателей дело может быть рассмотрено судьей единолично, если стороны или их представители присутствуют в данном судебном заседании и не возражают против рассмотрения дела судьей единолично.</w:t>
      </w:r>
    </w:p>
    <w:p>
      <w:pPr>
        <w:spacing w:after="120"/>
        <w:ind w:firstLine="709"/>
      </w:pPr>
      <w:r>
        <w:rPr>
          <w:sz w:val="24"/>
        </w:rPr>
        <w:t xml:space="preserve">Если хотя бы одна из сторон возражает против рассмотрения дела судьей единолично, суд объявляет перерыв в судебном заседании или откладывает судебное разбирательство. Если проведение нового судебного заседания невозможно вследствие неявки в судебное заседание одного или двух арбитражных заседателей, суд по ходатайству одной из сторон вправе вынести определение о рассмотрении дела судьей единолично и открыть судебное заседание в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5. При рассмотрении дела арбитражные заседатели пользуются правами и несут обязанности судьи.</w:t>
      </w:r>
    </w:p>
    <w:p>
      <w:pPr>
        <w:spacing w:after="120"/>
        <w:ind w:firstLine="709"/>
      </w:pPr>
      <w:r>
        <w:rPr>
          <w:sz w:val="24"/>
        </w:rPr>
        <w:t xml:space="preserve">6. Судья и арбитражный заседатель при рассмотрении дела, разрешении всех вопросов, возникающих при рассмотрении дела и принятии судебных актов, пользуются равными процессуальными правами.</w:t>
      </w:r>
    </w:p>
    <w:p>
      <w:pPr>
        <w:spacing w:after="120"/>
        <w:ind w:firstLine="709"/>
      </w:pPr>
      <w:r>
        <w:rPr>
          <w:sz w:val="24"/>
        </w:rPr>
        <w:t xml:space="preserve">7. Арбитражный заседатель не может быть председательствующим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</dc:title>
  <dc:creator>АРБИТРАЖ! · arbi.ru</dc:creator>
  <cp:lastModifiedBy>АРБИТРАЖ!</cp:lastModifiedBy>
  <dcterms:created xsi:type="dcterms:W3CDTF">2026-10-22T22:47:06.240Z</dcterms:created>
</cp:coreProperties>
</file>