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оснований, указанных в статьях 21 - 23 настоящего Кодекса, судья, арбитражный заседатель, помощник судьи, секретарь судебного заседания, эксперт, специалист, переводчик обязаны заявить самоотвод. По тем же основаниям отвод может быть заявлен лицами, участвующими в деле. Отвод помощнику судьи, секретарю судебного заседания, эксперту, специалисту, переводчику может быть рассмотрен также по инициативе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Самоотвод или отвод должен быть мотивирован и заявлен до начала рассмотрения дела по существу.</w:t>
      </w:r>
    </w:p>
    <w:p>
      <w:pPr>
        <w:spacing w:after="120"/>
        <w:ind w:firstLine="709"/>
      </w:pPr>
      <w:r>
        <w:rPr>
          <w:sz w:val="24"/>
        </w:rPr>
        <w:t xml:space="preserve">В ходе рассмотрения дела заявление о самоотводе или об отводе допускается только в случае, если основание самоотвода или отвода стало известно лицу, заявляющему самоотвод или отвод, после начала рассмотрения дела по существу.</w:t>
      </w:r>
    </w:p>
    <w:p>
      <w:pPr>
        <w:spacing w:after="120"/>
        <w:ind w:firstLine="709"/>
      </w:pPr>
      <w:r>
        <w:rPr>
          <w:sz w:val="24"/>
        </w:rPr>
        <w:t xml:space="preserve">3. Повторное заявление об отводе по тем же основаниям не может быть подано тем же лицом.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</dc:title>
  <dc:creator>АРБИТРАЖ! · arbi.ru</dc:creator>
  <cp:lastModifiedBy>АРБИТРАЖ!</cp:lastModifiedBy>
  <dcterms:created xsi:type="dcterms:W3CDTF">2026-10-22T11:37:05.977Z</dcterms:created>
</cp:coreProperties>
</file>