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заявивший самоотвод, а также судья, в отношении которого удовлетворено заявление об отводе, заменяется другим судьей.</w:t>
      </w:r>
    </w:p>
    <w:p>
      <w:pPr>
        <w:spacing w:after="120"/>
        <w:ind w:firstLine="709"/>
      </w:pPr>
      <w:r>
        <w:rPr>
          <w:sz w:val="24"/>
        </w:rPr>
        <w:t xml:space="preserve">2. В случае удовлетворения заявления о самоотводе или об отводе судьи, либо нескольких судей, либо всего состава суда дело рассматривается в том же арбитражном суде, но в ином составе судей.</w:t>
      </w:r>
    </w:p>
    <w:p>
      <w:pPr>
        <w:spacing w:after="120"/>
        <w:ind w:firstLine="709"/>
      </w:pPr>
      <w:r>
        <w:rPr>
          <w:sz w:val="24"/>
        </w:rPr>
        <w:t xml:space="preserve">3.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суде, дело передается в другой арбитражный суд того же уровня в порядке, установленном статьей 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</dc:title>
  <dc:creator>АРБИТРАЖ! · arbi.ru</dc:creator>
  <cp:lastModifiedBy>АРБИТРАЖ!</cp:lastModifiedBy>
  <dcterms:created xsi:type="dcterms:W3CDTF">2026-10-22T08:29:39.088Z</dcterms:created>
</cp:coreProperties>
</file>