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соответствии с главой 30 настоящего Кодекса дела:</w:t>
      </w:r>
    </w:p>
    <w:p>
      <w:pPr>
        <w:spacing w:after="120"/>
        <w:ind w:firstLine="709"/>
      </w:pPr>
      <w:r>
        <w:rPr>
          <w:sz w:val="24"/>
        </w:rPr>
        <w:t xml:space="preserve">1) об оспаривании решений третейских судов по спорам, возникающим при осуществлении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2) о выдаче исполнительных листов на принудительное исполнение решений третейских судов по спорам, возникающим при осуществлении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 оказании содействия третейским судам по спорам, возникающим при осуществлении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</dc:title>
  <dc:creator>АРБИТРАЖ! · arbi.ru</dc:creator>
  <cp:lastModifiedBy>АРБИТРАЖ!</cp:lastModifiedBy>
  <dcterms:created xsi:type="dcterms:W3CDTF">2026-10-23T07:16:42.880Z</dcterms:created>
</cp:coreProperties>
</file>