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Споры между сторонами гражданско-правовых отношений, подлежащие рассмотрению арбитражными судами в соответствии с настоящим Кодексом, могут быть переданы на рассмотрение третейского суда при наличии между сторонами спора действующего арбитражного соглашения.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 могут быть переданы на рассмотрение третейского суда подлежащие рассмотрению арбитражными судами в соответствии с настоящим Кодексом: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споры, предусмотренные пунктами 1 , 3 , 6 части 6 статьи 27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споры, предусмотренные разделом III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споры, предусмотренные главами 27 , 27.1 и 28.2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споры, предусмотренные пунктами 1 - 5 части 2 статьи 225.1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5) споры, возникающие из отношений, регулируемых законодательством Российской Федерации о приватизации государственного и муниципального имущества;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6 ч. 2 ст. 33 не применяется со дня вступления в силу Федерального закона, определяющего постоянно действующее арбитражное учреждение по администрированию споров в сфере контрактной системы ( ФЗ от 29.12.2015 N 409-ФЗ).</w:t>
      </w:r>
    </w:p>
    <w:p>
      <w:pPr>
        <w:spacing w:after="120"/>
        <w:ind w:firstLine="709"/>
      </w:pPr>
      <w:r>
        <w:rPr>
          <w:sz w:val="24"/>
        </w:rPr>
        <w:t xml:space="preserve">6) споры, возникающие из отношений, регулируемых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7) споры, возникающие из отношений, связанных с возмещением вреда, причиненного окружающей среде;</w:t>
      </w:r>
    </w:p>
    <w:p>
      <w:pPr>
        <w:spacing w:after="120"/>
        <w:ind w:firstLine="709"/>
      </w:pPr>
      <w:r>
        <w:rPr>
          <w:sz w:val="24"/>
        </w:rPr>
        <w:t xml:space="preserve">8) иные споры в случаях, прямо предусмотренных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Наименование исключено. - Федеральный закон от 28.11.2018 N 451-ФЗ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33</dc:title>
  <dc:creator>АРБИТРАЖ! · arbi.ru</dc:creator>
  <cp:lastModifiedBy>АРБИТРАЖ!</cp:lastModifiedBy>
  <dcterms:created xsi:type="dcterms:W3CDTF">2026-10-22T22:19:21.273Z</dcterms:created>
</cp:coreProperties>
</file>