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37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4. Компетенция арбитражных судов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37 АПК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 передаче дела по подсудности, вынесенное в связи с несоблюдением правил подсудности</w:t>
      </w:r>
    </w:p>
    <w:p>
      <w:pPr>
        <w:spacing w:after="120"/>
        <w:ind w:firstLine="709"/>
      </w:pPr>
      <w:r>
        <w:rPr>
          <w:sz w:val="24"/>
        </w:rPr>
        <w:t xml:space="preserve">Подсудность, установленная статьями 35 и 36 настоящего Кодекса, может быть изменена по соглашению сторон до принятия арбитражным судом заявления к своему производству.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37</dc:title>
  <dc:creator>АРБИТРАЖ! · arbi.ru</dc:creator>
  <cp:lastModifiedBy>АРБИТРАЖ!</cp:lastModifiedBy>
  <dcterms:created xsi:type="dcterms:W3CDTF">2026-10-22T19:31:15.012Z</dcterms:created>
</cp:coreProperties>
</file>