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Лицами, участвующими в деле, являются:</w:t>
      </w:r>
    </w:p>
    <w:p>
      <w:pPr>
        <w:spacing w:after="120"/>
        <w:ind w:firstLine="709"/>
      </w:pPr>
      <w:r>
        <w:rPr>
          <w:sz w:val="24"/>
        </w:rPr>
        <w:t xml:space="preserve">стороны;</w:t>
      </w:r>
    </w:p>
    <w:p>
      <w:pPr>
        <w:spacing w:after="120"/>
        <w:ind w:firstLine="709"/>
      </w:pPr>
      <w:r>
        <w:rPr>
          <w:sz w:val="24"/>
        </w:rPr>
        <w:t xml:space="preserve">заявители и заинтересованные лица - по делам особого производства, по делам о несостоятельности (банкротстве) и в иных предусмотренных настоящим Кодексом случаях;</w:t>
      </w:r>
    </w:p>
    <w:p>
      <w:pPr>
        <w:spacing w:after="120"/>
        <w:ind w:firstLine="709"/>
      </w:pPr>
      <w:r>
        <w:rPr>
          <w:sz w:val="24"/>
        </w:rPr>
        <w:t xml:space="preserve">третьи лица;</w:t>
      </w:r>
    </w:p>
    <w:p>
      <w:pPr>
        <w:spacing w:after="120"/>
        <w:ind w:firstLine="709"/>
      </w:pPr>
      <w:r>
        <w:rPr>
          <w:sz w:val="24"/>
        </w:rPr>
        <w:t xml:space="preserve">прокурор, государственные органы, органы местного самоуправления, иные органы и организации, граждане, обратившиеся в арбитражный суд в случаях,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40</dc:title>
  <dc:creator>АРБИТРАЖ! · arbi.ru</dc:creator>
  <cp:lastModifiedBy>АРБИТРАЖ!</cp:lastModifiedBy>
  <dcterms:created xsi:type="dcterms:W3CDTF">2026-10-22T06:42:29.419Z</dcterms:created>
</cp:coreProperties>
</file>