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Способность иметь процессуальные права и нести процессуальные обязанности (процессуальная правоспособность) признается в равной мере за всеми организациями и гражданами, обладающими согласно федеральному закону правом на судебную защиту в арбитражном суде своих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2. Способность своими действиями осуществлять процессуальные права и исполнять процессуальные обязанности (процессуальная дееспособность) принадлежит в арбитражном суде организациям и гражданам.</w:t>
      </w:r>
    </w:p>
    <w:p>
      <w:pPr>
        <w:spacing w:after="120"/>
        <w:ind w:firstLine="709"/>
      </w:pPr>
      <w:r>
        <w:rPr>
          <w:sz w:val="24"/>
        </w:rPr>
        <w:t xml:space="preserve">3. Права и законные интересы недееспособных граждан защищают в арбитражном процессе их законные представители - родители, усыновители, опекуны или попечители.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43</dc:title>
  <dc:creator>АРБИТРАЖ! · arbi.ru</dc:creator>
  <cp:lastModifiedBy>АРБИТРАЖ!</cp:lastModifiedBy>
  <dcterms:created xsi:type="dcterms:W3CDTF">2026-10-22T07:33:16.428Z</dcterms:created>
</cp:coreProperties>
</file>