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44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Сторонами в арбитражном процессе являются истец и ответчик.</w:t>
      </w:r>
    </w:p>
    <w:p>
      <w:pPr>
        <w:spacing w:after="120"/>
        <w:ind w:firstLine="709"/>
      </w:pPr>
      <w:r>
        <w:rPr>
          <w:sz w:val="24"/>
        </w:rPr>
        <w:t xml:space="preserve">2. Истцами являются организации и граждане, предъявившие иск в защиту своих прав и законных интересов.</w:t>
      </w:r>
    </w:p>
    <w:p>
      <w:pPr>
        <w:spacing w:after="120"/>
        <w:ind w:firstLine="709"/>
      </w:pPr>
      <w:r>
        <w:rPr>
          <w:sz w:val="24"/>
        </w:rPr>
        <w:t xml:space="preserve">3. Ответчиками являются организации и граждане, к которым предъявлен иск.</w:t>
      </w:r>
    </w:p>
    <w:p>
      <w:pPr>
        <w:spacing w:after="120"/>
        <w:ind w:firstLine="709"/>
      </w:pPr>
      <w:r>
        <w:rPr>
          <w:sz w:val="24"/>
        </w:rPr>
        <w:t xml:space="preserve">4. Стороны пользуются равными процессуальными правами.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44</dc:title>
  <dc:creator>АРБИТРАЖ! · arbi.ru</dc:creator>
  <cp:lastModifiedBy>АРБИТРАЖ!</cp:lastModifiedBy>
  <dcterms:created xsi:type="dcterms:W3CDTF">2026-10-22T06:41:54.825Z</dcterms:created>
</cp:coreProperties>
</file>