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Заявителями являются организации и граждане, обращающиеся в арбитражный суд с заявлениями в предусмотренных настоящим Кодексом и иным федеральным законом случаях и вступающие в арбитражный процесс по этим заявлениям.</w:t>
      </w:r>
    </w:p>
    <w:p>
      <w:pPr>
        <w:spacing w:after="120"/>
        <w:ind w:firstLine="709"/>
      </w:pPr>
      <w:r>
        <w:rPr>
          <w:sz w:val="24"/>
        </w:rPr>
        <w:t xml:space="preserve">2. Заявители пользуются процессуальными правами и несут процессуальные обязанности стороны, если иное не предусмотрено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45</dc:title>
  <dc:creator>АРБИТРАЖ! · arbi.ru</dc:creator>
  <cp:lastModifiedBy>АРБИТРАЖ!</cp:lastModifiedBy>
  <dcterms:created xsi:type="dcterms:W3CDTF">2026-10-22T23:27:39.355Z</dcterms:created>
</cp:coreProperties>
</file>