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45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Заявителями являются организации и граждане, обращающиеся в арбитражный суд с заявлениями в предусмотренных настоящим Кодексом и иным федеральным законом случаях и вступающие в арбитражный процесс по этим заявлениям.</w:t>
      </w:r>
    </w:p>
    <w:p>
      <w:pPr>
        <w:spacing w:after="120"/>
        <w:ind w:firstLine="709"/>
      </w:pPr>
      <w:r>
        <w:rPr>
          <w:sz w:val="24"/>
        </w:rPr>
        <w:t xml:space="preserve">2. Заявители пользуются процессуальными правами и несут процессуальные обязанности стороны, если иное не предусмотрено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45</dc:title>
  <dc:creator>АРБИТРАЖ! · arbi.ru</dc:creator>
  <cp:lastModifiedBy>АРБИТРАЖ!</cp:lastModifiedBy>
  <dcterms:created xsi:type="dcterms:W3CDTF">2026-10-22T20:36:33.190Z</dcterms:created>
</cp:coreProperties>
</file>