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при подготовке дела к судебному разбирательству или во время судебного разбирательства в суде первой инстанции будет установлено, что иск предъявлен не к тому лицу, которое должно отвечать по иску, арбитражный суд может по ходатайству или с согласия истца допустить замену ненадлежащего ответчика надлежащим.</w:t>
      </w:r>
    </w:p>
    <w:p>
      <w:pPr>
        <w:spacing w:after="120"/>
        <w:ind w:firstLine="709"/>
      </w:pPr>
      <w:r>
        <w:rPr>
          <w:sz w:val="24"/>
        </w:rPr>
        <w:t xml:space="preserve">2. Если истец не согласен на замену ответчика другим лицом, суд может с согласия истца привлечь это лицо в качестве второго ответчика.</w:t>
      </w:r>
    </w:p>
    <w:p>
      <w:pPr>
        <w:spacing w:after="120"/>
        <w:ind w:firstLine="709"/>
      </w:pPr>
      <w:r>
        <w:rPr>
          <w:sz w:val="24"/>
        </w:rPr>
        <w:t xml:space="preserve">3. После замены ненадлежащего ответчика или вступления в дело второго ответчика рассмотрение дела производится с самого начала.</w:t>
      </w:r>
    </w:p>
    <w:p>
      <w:pPr>
        <w:spacing w:after="120"/>
        <w:ind w:firstLine="709"/>
      </w:pPr>
      <w:r>
        <w:rPr>
          <w:sz w:val="24"/>
        </w:rPr>
        <w:t xml:space="preserve">4. О замене ненадлежащего ответчика надлежащим или привлечении надлежащего ответчика в качестве второго ответчика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5. Если истец не согласен на замену ответчика другим лицом или на привлечение этого лица в качестве второго ответчика, арбитражный суд рассматривает дело по предъявленному иску.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47</dc:title>
  <dc:creator>АРБИТРАЖ! · arbi.ru</dc:creator>
  <cp:lastModifiedBy>АРБИТРАЖ!</cp:lastModifiedBy>
  <dcterms:created xsi:type="dcterms:W3CDTF">2026-10-22T14:05:45.600Z</dcterms:created>
</cp:coreProperties>
</file>