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48 АПК РФ &gt;&gt;&gt;</w:t>
      </w:r>
    </w:p>
    <w:p>
      <w:pPr>
        <w:spacing w:after="120"/>
        <w:ind w:firstLine="709"/>
      </w:pPr>
      <w:r>
        <w:rPr>
          <w:sz w:val="24"/>
        </w:rPr>
        <w:t xml:space="preserve">1. В случаях выбытия одной из сторон в спорном или установленном судебным актом арбитражного суда правоотношении (реорганизация юридического лица, уступка требования, перевод долга, смерть гражданина и другие случаи перемены лиц в обязательствах) арбитражный суд производит замену этой стороны ее правопреемником и указывает на это в судебном акте. Правопреемство возможно на любой стадии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2. На замену стороны ее правопреемником или на отказ в этом арбитражным судом указывается в соответствующем судебном акте, который может быть обжалован.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Для правопреемника все действия, совершенные в арбитражном процессе до вступления правопреемника в дело, обязательны в той мере, в какой они были обязательны для лица, которое правопреемник заменил.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48</dc:title>
  <dc:creator>АРБИТРАЖ! · arbi.ru</dc:creator>
  <cp:lastModifiedBy>АРБИТРАЖ!</cp:lastModifiedBy>
  <dcterms:created xsi:type="dcterms:W3CDTF">2026-10-22T20:10:55.040Z</dcterms:created>
</cp:coreProperties>
</file>