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законом, государственные органы, органы местного самоуправления и иные органы вправе обратиться в арбитражный суд в защиту публичных интересов.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настоящим Кодексом и другими федеральными законами , организации и граждане вправе обратиться в арбитражный суд в защиту прав и законных интересов других лиц.</w:t>
      </w:r>
    </w:p>
    <w:p>
      <w:pPr>
        <w:spacing w:after="120"/>
        <w:ind w:firstLine="709"/>
      </w:pPr>
      <w:r>
        <w:rPr>
          <w:sz w:val="24"/>
        </w:rPr>
        <w:t xml:space="preserve">3. В обращении должно быть указано, в чем заключается нарушение публичных интересов или прав и (или) законных интересов других лиц, послужившее основанием для обращения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4. Орган, обратившийся в арбитражный суд в защиту публичных интересов, организации и граждане, обратившиеся в защиту прав и законных интересов других лиц, пользуются процессуальными правами и несут процессуальные обязанности истца.</w:t>
      </w:r>
    </w:p>
    <w:p>
      <w:pPr>
        <w:spacing w:after="120"/>
        <w:ind w:firstLine="709"/>
      </w:pPr>
      <w:r>
        <w:rPr>
          <w:sz w:val="24"/>
        </w:rPr>
        <w:t xml:space="preserve">5. Отказ органов, организаций и граждан, указанных в частях 1 и 2 настоящей статьи, от предъявленного иска не лишает истца права требовать рассмотрения дела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53</dc:title>
  <dc:creator>АРБИТРАЖ! · arbi.ru</dc:creator>
  <cp:lastModifiedBy>АРБИТРАЖ!</cp:lastModifiedBy>
  <dcterms:created xsi:type="dcterms:W3CDTF">2026-10-22T06:42:29.401Z</dcterms:created>
</cp:coreProperties>
</file>