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08.12.2011 N 422-ФЗ)</w:t>
      </w:r>
    </w:p>
    <w:p>
      <w:pPr>
        <w:spacing w:after="120"/>
        <w:ind w:firstLine="709"/>
      </w:pPr>
      <w:r>
        <w:rPr>
          <w:sz w:val="24"/>
        </w:rPr>
        <w:t xml:space="preserve">1. Специалистом в арбитражном суде является лицо, обладающее необходимыми знаниями по соответствующей специальности, осуществляющее консультации по касающимся рассматриваемого дела вопросам.</w:t>
      </w:r>
    </w:p>
    <w:p>
      <w:pPr>
        <w:spacing w:after="120"/>
        <w:ind w:firstLine="709"/>
      </w:pPr>
      <w:r>
        <w:rPr>
          <w:sz w:val="24"/>
        </w:rPr>
        <w:t xml:space="preserve">2. Лицо, вызванное арбитражным судом в качестве специалиста, обязано явиться в суд, отвечать на поставленные вопросы, давать в устной форме консультации и пояснения.</w:t>
      </w:r>
    </w:p>
    <w:p>
      <w:pPr>
        <w:spacing w:after="120"/>
        <w:ind w:firstLine="709"/>
      </w:pPr>
      <w:r>
        <w:rPr>
          <w:sz w:val="24"/>
        </w:rPr>
        <w:t xml:space="preserve">3. Специалист вправе с разрешения арбитражного суда знакомиться с материалами дела, участвовать в судебных заседаниях, заявлять ходатайство о представлении ему дополнительных материалов.</w:t>
      </w:r>
    </w:p>
    <w:p>
      <w:pPr>
        <w:spacing w:after="120"/>
        <w:ind w:firstLine="709"/>
      </w:pPr>
      <w:r>
        <w:rPr>
          <w:sz w:val="24"/>
        </w:rPr>
        <w:t xml:space="preserve">4. Специалист вправе отказаться от дачи консультаций по вопросам, выходящим за пределы его специальных знаний, а также в случае, если представленные ему материалы недостаточны для дачи консультации.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55.1</dc:title>
  <dc:creator>АРБИТРАЖ! · arbi.ru</dc:creator>
  <cp:lastModifiedBy>АРБИТРАЖ!</cp:lastModifiedBy>
  <dcterms:created xsi:type="dcterms:W3CDTF">2026-10-22T06:42:29.394Z</dcterms:created>
</cp:coreProperties>
</file>