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62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6. Представительство в арбитражном суде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Представитель вправе совершать от имени представляемого им лица все процессуальные действия, за исключением действий, указанных в части 2 настоящей статьи, если иное не предусмотрено в доверенности или ином документе.</w:t>
      </w:r>
    </w:p>
    <w:p>
      <w:pPr>
        <w:spacing w:after="120"/>
        <w:ind w:firstLine="709"/>
      </w:pPr>
      <w:r>
        <w:rPr>
          <w:sz w:val="24"/>
        </w:rPr>
        <w:t xml:space="preserve">2. В доверенности, выданной представляемым лицом, или ином документе должно быть специально оговорено право представителя на подписание искового заявления и отзыва на исковое заявление, заявления об обеспечении иска, передачу дела в третейский суд, полный или частичный отказ от исковых требований и признание иска, изменение основания или предмета иска, заключение мирового соглашения и соглашения по фактическим обстоятельствам, передачу своих полномочий представителя другому лицу (передоверие), а также право на подписание заявления о пересмотре судебных актов по новым или вновь открывшимся обстоятельствам, обжалование судебного акта арбитражного суда, получение присужденных денежных средств или иного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62</dc:title>
  <dc:creator>АРБИТРАЖ! · arbi.ru</dc:creator>
  <cp:lastModifiedBy>АРБИТРАЖ!</cp:lastModifiedBy>
  <dcterms:created xsi:type="dcterms:W3CDTF">2026-10-22T22:19:40.494Z</dcterms:created>
</cp:coreProperties>
</file>