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имеющие значение для правильного рассмотрения дела, определяются арбитражным судом на основании требований и возражений лиц, участвующих в деле, в соответствии с подлежащими применению нормами материального права.</w:t>
      </w:r>
    </w:p>
    <w:p>
      <w:pPr>
        <w:spacing w:after="120"/>
        <w:ind w:firstLine="709"/>
      </w:pPr>
      <w:r>
        <w:rPr>
          <w:sz w:val="24"/>
        </w:rPr>
        <w:t xml:space="preserve">3. Каждое лицо, участвующее в деле, должно раскрыть доказательства, на которые оно ссылается как на основание своих требований и возражений, перед другими лицами, участвующими в деле, до начала судебного заседания или в пределах срока, установленного судом,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вправе ссылаться только на те доказательства, с которыми другие лица, участвующие в деле, были ознакомлены заблаговременно.</w:t>
      </w:r>
    </w:p>
    <w:p>
      <w:pPr>
        <w:spacing w:after="120"/>
        <w:ind w:firstLine="709"/>
      </w:pPr>
      <w:r>
        <w:rPr>
          <w:sz w:val="24"/>
        </w:rPr>
        <w:t xml:space="preserve">5. В случае, если доказательства представлены с нарушением порядка представления доказательств, установленного настоящим Кодексом, в том числе с нарушением срока представления доказательств, установленного судом, арбитражный суд вправе отнести на лицо, участвующее в деле и допустившее такое нарушение, судебные расходы независимо от результатов рассмотрения дела в соответствии с частью 2 статьи 111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27.07.2010 N 228-ФЗ)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65</dc:title>
  <dc:creator>АРБИТРАЖ! · arbi.ru</dc:creator>
  <cp:lastModifiedBy>АРБИТРАЖ!</cp:lastModifiedBy>
  <dcterms:created xsi:type="dcterms:W3CDTF">2026-10-22T19:04:15.846Z</dcterms:created>
</cp:coreProperties>
</file>