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должника банкротом, ввести наблюдение и включить требование в реестр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ликвидируемого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(уполномоченный орган) хочет признать отсутствующего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хочет привлечь руководителя организации к ответственности за повторную неподачу заявления о признании ее банкротом</w:t>
      </w:r>
    </w:p>
    <w:p>
      <w:pPr>
        <w:spacing w:after="120"/>
        <w:ind w:firstLine="709"/>
      </w:pPr>
      <w:r>
        <w:rPr>
          <w:sz w:val="24"/>
        </w:rPr>
        <w:t xml:space="preserve">- Кредитор (должник или его участник) оспаривает признание должника банкротом и открытие конкурсного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Утратил силу с 1 октября 2015 года. - Федеральный закон от 29.06.2015 N 154-ФЗ.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Юридическое лицо считается неспособным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платежей, если соответствующие обязательства и (или) обязанность не исполнены им в течение трех месяцев с даты, когда они должны были быть исполнены.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Положение, предусмотренное пунктом 2 настоящей статьи, применяется,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</dc:title>
  <dc:creator>АРБИТРАЖ! · arbi.ru</dc:creator>
  <cp:lastModifiedBy>АРБИТРАЖ!</cp:lastModifiedBy>
  <dcterms:created xsi:type="dcterms:W3CDTF">2026-10-22T21:58:13.179Z</dcterms:created>
</cp:coreProperties>
</file>