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07.02.2011 N 8-ФЗ)</w:t>
      </w:r>
    </w:p>
    <w:p>
      <w:pPr>
        <w:spacing w:after="120"/>
        <w:ind w:firstLine="709"/>
      </w:pPr>
      <w:r>
        <w:rPr>
          <w:sz w:val="24"/>
        </w:rPr>
        <w:t xml:space="preserve">1. Обязательства из договоров, заключенных на условиях генерального соглашения (единого договора), которое соответствует примерным условиям договоров, предусмотренным статьей 51.5 Федерального закона "О рынке ценных бумаг", и (или) договоров, заключенных на условиях правил организованных торгов и (или) правил клиринга (далее - финансовые договоры), прекращаются в порядке, предусмотренном указанными генеральным соглашением (единым договором), и (или) правилами организованных торгов, и (или) правилами клиринга.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29.12.2012 N 282-ФЗ , от 22.12.2014 N 432-ФЗ , от 27.12.2019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прекращении обязательств из финансовых договоров осуществляется расчет размера возникающего денежного обязательства (денежных обязательств) (определение нетто-обязательства (нетто-обязательств) в порядке и в срок, предусмотренные генеральным соглашением (единым договором), и (или) правилами организованных торгов, и (или) правилами клиринга.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27.12.2019 N 507-ФЗ)</w:t>
      </w:r>
    </w:p>
    <w:p>
      <w:pPr>
        <w:spacing w:after="120"/>
        <w:ind w:firstLine="709"/>
      </w:pPr>
      <w:r>
        <w:rPr>
          <w:sz w:val="24"/>
        </w:rPr>
        <w:t xml:space="preserve">При прекращении обязательств из финансовых договоров, обеспеченных в соответствии со статьей 51.8 Федерального закона "О рынке ценных бумаг" имуществом должника, в том числе являющегося кредитной организацией, без передачи кредитору права собственности на предмет обеспечения, исполнение нетто-обязательства осуществляется за счет стоимости предмета обеспечения в порядке, предусмотренном договором о предоставлении такого обеспечения, при одновременном соблюдении условий, предусмотренных статьей 51.8 Федерального закона "О рынке ценных бумаг".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353-ФЗ)</w:t>
      </w:r>
    </w:p>
    <w:p>
      <w:pPr>
        <w:spacing w:after="120"/>
        <w:ind w:firstLine="709"/>
      </w:pPr>
      <w:r>
        <w:rPr>
          <w:sz w:val="24"/>
        </w:rPr>
        <w:t xml:space="preserve">Для целей предусмотренного настоящим пунктом исполнения нетто-обязательства порядок реализации кредитором предмета обеспечения, в том числе путем оставления предмета обеспечения за собой, стоимость предмета обеспечения определяются договором о предоставлении обеспечения, указанным в статье 51.8 Федерального закона "О рынке ценных бумаг". При этом срок реализации кредитором имущества, являющегося предметом обеспечения, не может превышать пятнадцать рабочих дней с даты определения нетто-обязательства. Если определение нетто-обязательства осуществляется на дату, предшествующую дате введения моратория на удовлетворение требований кредиторов кредитной организации, реализация предмета обеспечения осуществляется путем оставления его за собой на дату определения нетто-обязательства.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353-ФЗ)</w:t>
      </w:r>
    </w:p>
    <w:p>
      <w:pPr>
        <w:spacing w:after="120"/>
        <w:ind w:firstLine="709"/>
      </w:pPr>
      <w:r>
        <w:rPr>
          <w:sz w:val="24"/>
        </w:rPr>
        <w:t xml:space="preserve">Имущество, оставшееся у кредитора после прекращения обязательств из финансовых договоров, обеспеченных в соответствии со статьей 51.8 Федерального закона "О рынке ценных бумаг", и исполнения нетто-обязательства в порядке, предусмотренном настоящим пунктом, подлежит включению в конкурсную массу должника.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353-ФЗ)</w:t>
      </w:r>
    </w:p>
    <w:p>
      <w:pPr>
        <w:spacing w:after="120"/>
        <w:ind w:firstLine="709"/>
      </w:pPr>
      <w:r>
        <w:rPr>
          <w:sz w:val="24"/>
        </w:rPr>
        <w:t xml:space="preserve">1.1. Порядок прекращения обязательств, установленный настоящей статьей, подлежит применению в том числе при прекращении обязательств, возникших по основаниям, предусмотренным генеральными соглашениями (едиными договорами), заключенными между одними и теми же сторонами, и (или) правилами организованных торгов, и (или) правилами клиринга.</w:t>
      </w:r>
    </w:p>
    <w:p>
      <w:pPr>
        <w:spacing w:after="120"/>
        <w:ind w:firstLine="709"/>
      </w:pPr>
      <w:r>
        <w:rPr>
          <w:sz w:val="24"/>
        </w:rPr>
        <w:t xml:space="preserve">Указанный в абзаце первом настоящего пункта порядок не подлежит применению, если наличие генеральных соглашений (единых договоров) между одними и теми же сторонами является результатом замены стороны генерального соглашения (единого договора), осуществленной:</w:t>
      </w:r>
    </w:p>
    <w:p>
      <w:pPr>
        <w:spacing w:after="120"/>
        <w:ind w:firstLine="709"/>
      </w:pPr>
      <w:r>
        <w:rPr>
          <w:sz w:val="24"/>
        </w:rPr>
        <w:t xml:space="preserve">после принятия арбитражным судом заявления о признании должника банкротом или в течение одного месяца до принятия такого заявления (за исключением случаев универсального правопреемства);</w:t>
      </w:r>
    </w:p>
    <w:p>
      <w:pPr>
        <w:spacing w:after="120"/>
        <w:ind w:firstLine="709"/>
      </w:pPr>
      <w:r>
        <w:rPr>
          <w:sz w:val="24"/>
        </w:rPr>
        <w:t xml:space="preserve">в течение шести месяцев до принятия арбитражным судом заявления о признании должника банкротом на основании сделки, совершенной с заинтересованным лицом;</w:t>
      </w:r>
    </w:p>
    <w:p>
      <w:pPr>
        <w:spacing w:after="120"/>
        <w:ind w:firstLine="709"/>
      </w:pPr>
      <w:r>
        <w:rPr>
          <w:sz w:val="24"/>
        </w:rPr>
        <w:t xml:space="preserve">в течение одного месяца до момента отзыва у должника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на основании сделки,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лицом, которое знало о признаках неплатежеспособности или недостаточности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27.12.2019 N 507-ФЗ)</w:t>
      </w:r>
    </w:p>
    <w:p>
      <w:pPr>
        <w:spacing w:after="120"/>
        <w:ind w:firstLine="709"/>
      </w:pPr>
      <w:r>
        <w:rPr>
          <w:sz w:val="24"/>
        </w:rPr>
        <w:t xml:space="preserve">2. Правила пункта 1 настоящей статьи применяются в отношении финансовых договоров, которые заключены до даты назначения временной администрации, или до даты принятия арбитражным судом решения о введении одной из процедур банкротства, или до даты отзыва лицензии на осуществление банковских операций, в зависимости от того, какая дата наступила ранее.</w:t>
      </w:r>
    </w:p>
    <w:p>
      <w:pPr>
        <w:spacing w:after="120"/>
        <w:ind w:firstLine="709"/>
      </w:pPr>
      <w:r>
        <w:rPr>
          <w:sz w:val="24"/>
        </w:rPr>
        <w:t xml:space="preserve">3. Если финансовые договоры заключены на условиях генерального соглашения (единого договора), для применения правил пункта 1 настоящей статьи дополнительно к требованиям пункта 2 настоящей статьи необходимо соблюдение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одной из сторон договора (выгодоприобретателем по договору) является:</w:t>
      </w:r>
    </w:p>
    <w:p>
      <w:pPr>
        <w:spacing w:after="120"/>
        <w:ind w:firstLine="709"/>
      </w:pPr>
      <w:r>
        <w:rPr>
          <w:sz w:val="24"/>
        </w:rPr>
        <w:t xml:space="preserve">российская кредитная организация или профессиональный участник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Банк России;</w:t>
      </w:r>
    </w:p>
    <w:p>
      <w:pPr>
        <w:spacing w:after="120"/>
        <w:ind w:firstLine="709"/>
      </w:pPr>
      <w:r>
        <w:rPr>
          <w:sz w:val="24"/>
        </w:rPr>
        <w:t xml:space="preserve">иностранное юридическое лицо, имеющее право в соответствии с личным законом осуществлять банковскую деятельность или профессиональную деятельность на рынке ценных бумаг, с местом учреждения в государствах, указанных в подпунктах 1 и 2 пункта 2 статьи 51.1 Федерального закона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центральный банк иностранного государства, указанного в подпунктах 1 и 2 пункта 2 статьи 51.1 Федерального закона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международная финансовая организация;</w:t>
      </w:r>
    </w:p>
    <w:p>
      <w:pPr>
        <w:spacing w:after="120"/>
        <w:ind w:firstLine="709"/>
      </w:pPr>
      <w:r>
        <w:rPr>
          <w:sz w:val="24"/>
        </w:rPr>
        <w:t xml:space="preserve">иное российское юридическое лицо;</w:t>
      </w:r>
    </w:p>
    <w:p>
      <w:pPr>
        <w:spacing w:after="120"/>
        <w:ind w:firstLine="709"/>
      </w:pPr>
      <w:r>
        <w:rPr>
          <w:sz w:val="24"/>
        </w:rPr>
        <w:t xml:space="preserve">Российская Федерация, субъекты Российской Федерации, муниципальные образования;</w:t>
      </w:r>
    </w:p>
    <w:p>
      <w:pPr>
        <w:spacing w:after="120"/>
        <w:ind w:firstLine="709"/>
      </w:pPr>
      <w:r>
        <w:rPr>
          <w:sz w:val="24"/>
        </w:rPr>
        <w:t xml:space="preserve">владельцы инвестиционных паев паевого инвестиционного фонда (в случаях, если они являются выгодоприобретателями по финансовому договору, заключенному управляющей компанией в интересах паевого инвестиционного фонда);</w:t>
      </w:r>
    </w:p>
    <w:p>
      <w:pPr>
        <w:spacing w:after="120"/>
        <w:ind w:firstLine="709"/>
      </w:pPr>
      <w:r>
        <w:rPr>
          <w:sz w:val="24"/>
        </w:rPr>
        <w:t xml:space="preserve">иностранное государство, субъект иностранного федеративного государства, административно-территориальное образование иностранного государства, которые указаны в подпунктах 1 и 2 пункта 2 статьи 51.1 Федерального закона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иное иностранное юридическое лицо с местом учреждения в государствах, указанных в подпунктах 1 и 2 пункта 2 статьи 51.1 Федерального закона "О рынке ценных бумаг".</w:t>
      </w:r>
    </w:p>
    <w:p>
      <w:pPr>
        <w:spacing w:after="120"/>
        <w:ind w:firstLine="709"/>
      </w:pPr>
      <w:r>
        <w:rPr>
          <w:sz w:val="24"/>
        </w:rPr>
        <w:t xml:space="preserve">При этом второй стороной финансового договора должно являться лицо, предусмотренное абзацами вторым - шестым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2) запись о заключении генерального соглашения (единого договора) внесена в реестр договоров, ведение которого осуществляется репозитарием в порядке, установленном статьей 15.8 Федерального закона "О рынке ценных бумаг";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03.07.2016 N 292-ФЗ)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генеральное соглашение (единый договор) содержит порядок прекращения обязательств в связи с введением моратория на удовлетворение требований кредиторов кредитной организации, процедур банкротства одной из сторон генерального соглашения (единого договора) и определения нетто-обязательства - денежного обязательства, возникающего в связи с таким прекращением, предусматривающий, что: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27.12.2019 N 507-ФЗ , от 02.07.2021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обязательства прекращаются по всем договорам, заключенным в соответствии с генеральным соглашением (единым договором), в том числе по договору (соглашению) об обеспечительном платеже, указанному в статье 51.7 Федерального закона "О рынке ценных бумаг", в том числе если срок исполнения обязательств не наступил;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генеральное соглашение (единый договор) содержит соответствующий требованиям подпункта 2 пункта 3 статьи 51.5 Федерального закона "О рынке ценных бумаг" порядок прекращения обязательств в связи с введением моратория на удовлетворение требований кредиторов кредитной организации, процедур банкротства одной из сторон генерального соглашения (единого договора) и определения нетто-обязательства - денежного обязательства, возникающего в связи с таким прекращением;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432-ФЗ , от 27.12.2019 N 507-ФЗ , от 02.07.2021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нетто-обязательство определяется по всем прекращающимся обязательствам, в том числе по договору (соглашению) об обеспечительном платеже, указанному в статье 51.7 Федерального закона "О рынке ценных бумаг", и не включает в себя возмещение убытков в форме упущенной выгоды и взыскание неустоек (штрафов, пеней).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финансовые договоры заключены на условиях правил организованных торгов и (или) правил клиринга, для применения правил пункта 1 настоящей статьи дополнительно к требованиям пункта 2 настоящей статьи указанные правила должны содержать соответствующий требованиям подпункта 6.1 пункта 2 статьи 4 Федерального закона "О клиринге и клиринговой деятельности" порядок прекращения обязательств в связи с банкротством и определения нетто-обязательства.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432-ФЗ , от 27.12.2019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не применяются к возникшим из правил организованных торгов и (или) правил клиринга обязательствам по уплате вознаграждения клиринговой организации и организациям, указанным в пунктах 4 - 7 части 2 статьи 19 Федерального закона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6. Положения настоящей статьи не применяются к отношениям, урегулированным параграфом 7 главы IX и главой X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4.1</dc:title>
  <dc:creator>АРБИТРАЖ! · arbi.ru</dc:creator>
  <cp:lastModifiedBy>АРБИТРАЖ!</cp:lastModifiedBy>
  <dcterms:created xsi:type="dcterms:W3CDTF">2026-10-22T06:54:28.364Z</dcterms:created>
</cp:coreProperties>
</file>