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признании должника банкротом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возвращении заявления о включении требований в реестр требований кредиторов</w:t>
      </w:r>
    </w:p>
    <w:p>
      <w:pPr>
        <w:spacing w:after="120"/>
        <w:ind w:firstLine="709"/>
      </w:pPr>
      <w:r>
        <w:rPr>
          <w:sz w:val="24"/>
        </w:rPr>
        <w:t xml:space="preserve">Должник вправе подать в арбитражный суд заявление должника в случае предвидения банкротства при наличии обстоятельств, очевидно свидетельствующих о том, что он не в состоянии будет исполнить денежные обязательства, требования о выплате выходных пособий и (или) об оплате труда лиц, работающих или работавших по трудовому договору, и (или) обязанность по уплате обязательных платежей в установленный срок.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</dc:title>
  <dc:creator>АРБИТРАЖ! · arbi.ru</dc:creator>
  <cp:lastModifiedBy>АРБИТРАЖ!</cp:lastModifiedBy>
  <dcterms:created xsi:type="dcterms:W3CDTF">2026-10-22T22:35:33.590Z</dcterms:created>
</cp:coreProperties>
</file>