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20.7.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взыскать свои расходы и вознаграждение с заявителя по делу о банкротстве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привлечь специалиста</w:t>
      </w:r>
    </w:p>
    <w:p>
      <w:pPr>
        <w:spacing w:after="120"/>
        <w:ind w:firstLine="709"/>
      </w:pPr>
      <w:r>
        <w:rPr>
          <w:sz w:val="24"/>
        </w:rPr>
        <w:t xml:space="preserve">1. Расходы на проведение процедур, применяемых в деле о банкротстве, осуществляются за счет средств должника,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Расходы, предусмотренные настоящей статьей, не включают в себя расходы на оплату услуг лиц, привлекаемых для обеспечения текущей деятельности должника при проведении процедур, применяемых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2. За счет средств должника в размере фактических затрат осуществляется оплата расходов, предусмотренных настоящим Федеральным законом, в том числе почтовых расходов, расходов, связанных с государственной регистрацией прав должника на недвижимое имущество и сделок с ним, расходов в связи с выполнением работ (услуг) для должника, необходимых для государственной регистрации таких прав, расходов на оплату услуг оценщика, реестродержателя, аудитора, оператора электронной площадки, если привлечение оценщика, реестродержателя, аудитора, оператора электронной площадки в соответствии с настоящим Федеральным законом является обязательным, расходов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сведений, а также оплата судебных расходов , в том числе государственной пошлины.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429-ФЗ , от 29.12.2014 N 482-ФЗ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Размер оплаты услуг лиц, привлеченных внешним управляющим или конкурсным управляющим для обеспечения исполнения возложенных на него обязанностей в деле о банкротстве, за исключением лиц, предусмотренных пунктом 2 настоящей статьи, составляет при балансовой стоимости активов должника: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двухсот пятидесяти тысяч рублей - не более десяти процентов балансовой стоимости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от двухсот пятидесяти тысяч рублей до одного миллиона рублей - не более двадцати пяти тысяч рублей и восьми процентов размера суммы превышения балансовой стоимости активов должника над двумястами пятьюдесятью тысячами рублей;</w:t>
      </w:r>
    </w:p>
    <w:p>
      <w:pPr>
        <w:spacing w:after="120"/>
        <w:ind w:firstLine="709"/>
      </w:pPr>
      <w:r>
        <w:rPr>
          <w:sz w:val="24"/>
        </w:rPr>
        <w:t xml:space="preserve">от одного миллиона рублей до трех миллионов рублей - не более восьмидесяти пяти тысяч рублей и пяти процентов размера суммы превышения балансовой стоимости активов должника над одним миллионом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17.12.2009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 трех миллионов рублей до десяти миллионов рублей - не более ста восьмидесяти пяти тысяч рублей и трех процентов размера суммы превышения балансовой стоимости активов должника над тремя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десяти миллионов рублей до ста миллионов рублей - не более трехсот девяноста пяти тысяч рублей и одного процента размера суммы превышения балансовой стоимости активов должника над десятью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ста миллионов рублей до трехсот миллионов рублей - не более одного миллиона двухсот девяноста пяти тысяч рублей и одной второй процента размера суммы превышения балансовой стоимости активов должника над ста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трехсот миллионов рублей до одного миллиарда рублей - не более двух миллионов двухсот девяноста пяти тысяч рублей и одной десятой процента размера суммы превышения балансовой стоимости активов должника над тремястами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более одного миллиарда рублей - не более двух миллионов девятисот девяноста пяти тысяч рублей и одной сотой процента размера суммы превышения балансовой стоимости активов должника над одним миллиардом рублей.</w:t>
      </w:r>
    </w:p>
    <w:p>
      <w:pPr>
        <w:spacing w:after="120"/>
        <w:ind w:firstLine="709"/>
      </w:pPr>
      <w:r>
        <w:rPr>
          <w:sz w:val="24"/>
        </w:rPr>
        <w:t xml:space="preserve">При этом размер оплаты услуг лиц, определенный в соответствии с настоящим пунктом, может быть превышен арбитражным управляющим в случае, если размер данного превышения покрывается размером страховой суммы сверх установленного пунктом 2 статьи 24.1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21.12.2013 N 379-ФЗ)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Оплата услуг лиц, привлеченных временным управляющим или административным управляющим для обеспечения исполнения возложенных на него обязанностей в деле о банкротстве, осуществляется в размере, не превышающем пятидесяти процентов определенного в соответствии с пунктом 3 настоящей статьи размера оплаты услуг лиц, привлеченных внешним управляющим или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Привлечение арбитражным управляющим лиц для обеспечения исполнения возложенных на него обязанностей в деле о банкротстве,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лиц, участвующих в деле о банкротстве, в случаях, если услуги не связаны с целями проведения процедур, применяемых в деле о банкротстве,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может быть признан необоснованным размер оплаты таких услуг, если он соответствует тарифам, утвержденным нормативным правовым актом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(или) определенного в соответствии с настоящей статьей размера оплаты их услуг возлагается на лицо, обратившееся в арбитражный суд с заявлением о признании привлечения таких лиц и (или) размера такой оплаты необоснованными.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Судебный акт о признании привлечения указанных в настоящем пункте лиц и (или) размера оплаты их услуг необоснованными может быть обжалован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абз. 1 п. 6 ст. 20.7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6. Привлечение арбитражным управляющим лиц для обеспечения исполнения возложенных на него обязанностей в деле о банкротстве за счет имущества должника при превышении размера оплаты таких услуг, определенного в соответствии с настоящей статьей, осуществляется после принятия арбитражным судом соответствующего определения, принимаемого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29.12.2015 N 391-ФЗ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выносит определение о привлечении указанных в настоящем пункте лиц и об установлении размера оплаты их услуг по ходатайству арбитражного управляющего при условии, что арбитражным управляющим доказаны обоснованность их привлечения и обоснованность размера оплаты их услуг.</w:t>
      </w:r>
    </w:p>
    <w:p>
      <w:pPr>
        <w:spacing w:after="120"/>
        <w:ind w:firstLine="709"/>
      </w:pPr>
      <w:r>
        <w:rPr>
          <w:sz w:val="24"/>
        </w:rPr>
        <w:t xml:space="preserve">Принятое арбитражным судом определение о привлечении арбитражным управляющим указанных в настоящем пункте лиц и об установлении размера оплаты их услуг или об отказе в удовлетворении ходатайства арбитражного управляющего об их привлечении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7. Оплата услуг лиц, решение о привлечении которых принято собранием кредиторов, осуществляется за счет средств кредиторов, проголосовавших за такое решение, пропорционально размерам их требований, включенных в реестр требований кредиторов на дату проведения собрания кредиторов, за исключением случаев, если одним кредитором или несколькими кредиторами приняты на себя обязанности по оплате услуг указанных лиц.</w:t>
      </w:r>
    </w:p>
    <w:p>
      <w:pPr>
        <w:spacing w:after="120"/>
        <w:ind w:firstLine="709"/>
      </w:pPr>
      <w:r>
        <w:rPr>
          <w:sz w:val="24"/>
        </w:rPr>
        <w:t xml:space="preserve">Оплата услуг лиц, решение о привлечении которых принято кредитором, требования которого обеспечены залогом имущества должника, в связи с реализацией заложенного имущества осуществляется за счет средств соответствующего кредитора.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Для целей настоящей статьи балансовая стоимость активов должника определяется на основании данных финансовой (бухгалтерской) отчетности по состоянию на последнюю отчетную дату, предшествующую дате введения соответствующей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9. При проведении процедур, применяемых в деле о банкротстве, в отношении отдельных категорий должников регулирующим органом могут быть установлены иные размер и (или) порядок оплаты расходов на проведение указанных процедур.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20.7</dc:title>
  <dc:creator>АРБИТРАЖ! · arbi.ru</dc:creator>
  <cp:lastModifiedBy>АРБИТРАЖ!</cp:lastModifiedBy>
  <dcterms:created xsi:type="dcterms:W3CDTF">2026-10-22T20:17:08.999Z</dcterms:created>
</cp:coreProperties>
</file>