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27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должника - юридического лица применяются следующие процедуры: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наблюдение;</w:t>
      </w:r>
    </w:p>
    <w:p>
      <w:pPr>
        <w:spacing w:after="120"/>
        <w:ind w:firstLine="709"/>
      </w:pPr>
      <w:r>
        <w:rPr>
          <w:sz w:val="24"/>
        </w:rPr>
        <w:t xml:space="preserve">финансовое оздоровление;</w:t>
      </w:r>
    </w:p>
    <w:p>
      <w:pPr>
        <w:spacing w:after="120"/>
        <w:ind w:firstLine="709"/>
      </w:pPr>
      <w:r>
        <w:rPr>
          <w:sz w:val="24"/>
        </w:rPr>
        <w:t xml:space="preserve">внешнее управление;</w:t>
      </w:r>
    </w:p>
    <w:p>
      <w:pPr>
        <w:spacing w:after="120"/>
        <w:ind w:firstLine="709"/>
      </w:pPr>
      <w:r>
        <w:rPr>
          <w:sz w:val="24"/>
        </w:rPr>
        <w:t xml:space="preserve">конкурсное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мировое соглашение.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о банкротстве гражданина, в том числе индивидуального предпринимателя, применяются реструктуризация долгов гражданина, реализация имущества гражданина, мировое соглашение.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27</dc:title>
  <dc:creator>АРБИТРАЖ! · arbi.ru</dc:creator>
  <cp:lastModifiedBy>АРБИТРАЖ!</cp:lastModifiedBy>
  <dcterms:created xsi:type="dcterms:W3CDTF">2026-10-23T17:21:08.863Z</dcterms:created>
</cp:coreProperties>
</file>