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43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Судья арбитражного суда отказывает в принятии заявления о признании должника банкротом в случае:</w:t>
      </w:r>
    </w:p>
    <w:p>
      <w:pPr>
        <w:spacing w:after="120"/>
        <w:ind w:firstLine="709"/>
      </w:pPr>
      <w:r>
        <w:rPr>
          <w:sz w:val="24"/>
        </w:rPr>
        <w:t xml:space="preserve">нарушения условий, предусмотренных пунктом 2 статьи 33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43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подачи заявления о признании должника банкротом, в отношении которого арбитражным судом возбуждено производство по делу о банкротстве и введена одна из процедур, применяемых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43</dc:title>
  <dc:creator>АРБИТРАЖ! · arbi.ru</dc:creator>
  <cp:lastModifiedBy>АРБИТРАЖ!</cp:lastModifiedBy>
  <dcterms:created xsi:type="dcterms:W3CDTF">2026-10-22T20:24:20.518Z</dcterms:created>
</cp:coreProperties>
</file>