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12.07.2011 N 210-ФЗ.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арбитражного суда о введении наблюдения должны содержаться указания на:</w:t>
      </w:r>
    </w:p>
    <w:p>
      <w:pPr>
        <w:spacing w:after="120"/>
        <w:ind w:firstLine="709"/>
      </w:pPr>
      <w:r>
        <w:rPr>
          <w:sz w:val="24"/>
        </w:rPr>
        <w:t xml:space="preserve">признание заявления о признании должника банкротом обоснованным и введение наблюдения;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утверждение временного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19.07.2009 N 195-ФЗ.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вынесении определения о введении наблюдения невозможно определить кандидатуру временного управляющего, арбитражный суд выносит определение об отложении рассмотрения вопроса об утверждении временного управляющего на срок не более пятнадцати дней с даты вынесения определения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о введении наблюдения, а также определение об утверждении временного управляющего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Указанные определения могут быть обжалованы . Обжалование указанных определений не приостанавливает их исполнение.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49</dc:title>
  <dc:creator>АРБИТРАЖ! · arbi.ru</dc:creator>
  <cp:lastModifiedBy>АРБИТРАЖ!</cp:lastModifiedBy>
  <dcterms:created xsi:type="dcterms:W3CDTF">2026-10-22T22:32:33.619Z</dcterms:created>
</cp:coreProperties>
</file>