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51</w:t>
      </w:r>
    </w:p>
    <w:p>
      <w:pPr>
        <w:spacing w:after="120"/>
        <w:ind w:firstLine="709"/>
      </w:pPr>
      <w:r>
        <w:rPr>
          <w:sz w:val="24"/>
        </w:rPr>
        <w:t xml:space="preserve">- Кредитор (должник или его участник) оспаривает признание должника банкротом и открытие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Дело о банкротстве должно быть рассмотрено в заседании арбитражного суда в срок, не превышающий семи месяцев с даты поступления заявления о признании должника банкротом в арбитражный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51</dc:title>
  <dc:creator>АРБИТРАЖ! · arbi.ru</dc:creator>
  <cp:lastModifiedBy>АРБИТРАЖ!</cp:lastModifiedBy>
  <dcterms:created xsi:type="dcterms:W3CDTF">2026-10-22T23:29:57.003Z</dcterms:created>
</cp:coreProperties>
</file>