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52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дела о банкротстве арбитражный суд принимает один из следующих судебных актов:</w:t>
      </w:r>
    </w:p>
    <w:p>
      <w:pPr>
        <w:spacing w:after="120"/>
        <w:ind w:firstLine="709"/>
      </w:pPr>
      <w:r>
        <w:rPr>
          <w:sz w:val="24"/>
        </w:rPr>
        <w:t xml:space="preserve">решение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решение об отказе в признании должника банкротом;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52 дополняется абз. 4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определение о введении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определение о введении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определение о прекращении производства по делу о банкротстве;</w:t>
      </w:r>
    </w:p>
    <w:p>
      <w:pPr>
        <w:spacing w:after="120"/>
        <w:ind w:firstLine="709"/>
      </w:pPr>
      <w:r>
        <w:rPr>
          <w:sz w:val="24"/>
        </w:rPr>
        <w:t xml:space="preserve">определение об оставлении заявления о признании должника банкротом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определение об утверждении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2. Судебные акты, предусмотренные пунктом 1 настоящей статьи, а также иные предусмотренные настоящим Федеральным законом судебные акты арбитражного суда подлежат немедленному исполнению, если иное не установлено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52</dc:title>
  <dc:creator>АРБИТРАЖ! · arbi.ru</dc:creator>
  <cp:lastModifiedBy>АРБИТРАЖ!</cp:lastModifiedBy>
  <dcterms:created xsi:type="dcterms:W3CDTF">2026-10-22T23:38:27.644Z</dcterms:created>
</cp:coreProperties>
</file>