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55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Решение арбитражного суда об отказе в признании должника банкротом принимается в случае:</w:t>
      </w:r>
    </w:p>
    <w:p>
      <w:pPr>
        <w:spacing w:after="120"/>
        <w:ind w:firstLine="709"/>
      </w:pPr>
      <w:r>
        <w:rPr>
          <w:sz w:val="24"/>
        </w:rPr>
        <w:t xml:space="preserve">отсутствия признаков банкротства, предусмотренных статьей 3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30.12.2008 N 296-ФЗ;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иных предусмотренных настоящим Федеральным законом случаях.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55</dc:title>
  <dc:creator>АРБИТРАЖ! · arbi.ru</dc:creator>
  <cp:lastModifiedBy>АРБИТРАЖ!</cp:lastModifiedBy>
  <dcterms:created xsi:type="dcterms:W3CDTF">2026-10-22T20:25:34.109Z</dcterms:created>
</cp:coreProperties>
</file>