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делу о банкротстве может быть приостановлено по ходатайству лица, участвующего в деле о банкротстве, в случае:</w:t>
      </w:r>
    </w:p>
    <w:p>
      <w:pPr>
        <w:spacing w:after="120"/>
        <w:ind w:firstLine="709"/>
      </w:pPr>
      <w:r>
        <w:rPr>
          <w:sz w:val="24"/>
        </w:rPr>
        <w:t xml:space="preserve">обжалования судебных актов, предусмотренных статьей 52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обжалования решений собрания кредиторов (комитета кредиторов);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Арбитражным процессуальным кодексом Российской Федерации и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приостановления производства по делу арбитражный суд не вправе принимать судебные акты, предусмотренные статьей 52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Приостановление производства по делу не является препятствием для вынесения иных предусмотренных настоящим Федеральным законом определений, а также осуществления арбитражным управляющим и иными лицами, участвующими в деле о банкротстве, действий, предусмотренных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58</dc:title>
  <dc:creator>АРБИТРАЖ! · arbi.ru</dc:creator>
  <cp:lastModifiedBy>АРБИТРАЖ!</cp:lastModifiedBy>
  <dcterms:created xsi:type="dcterms:W3CDTF">2026-10-22T22:15:48.840Z</dcterms:created>
</cp:coreProperties>
</file>