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61.3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оспаривает сделки должника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управляющий) хочет признать договор о переводе долга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соглашение о новации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должником в отношении отдельного кредитора или иного лица, может быть признана арбитражным судом недействительной,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требований, в частности при наличии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сделка направлена на обеспечение исполнения обязательства должника или третьего лица перед отдельным кредитором, возникшего до совершения оспариваемой сделки;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или может привести к изменению очередности удовлетворения требований кредитора по обязательствам, возникшим до совершения оспариваемой сделки;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или может привести к удовлетворению требований, срок исполнения которых к моменту совершения сделки не наступил , одних кредиторов при наличии не исполненных в установленный срок обязательств перед другими кредиторами;</w:t>
      </w:r>
    </w:p>
    <w:p>
      <w:pPr>
        <w:spacing w:after="120"/>
        <w:ind w:firstLine="709"/>
      </w:pPr>
      <w:r>
        <w:rPr>
          <w:sz w:val="24"/>
        </w:rPr>
        <w:t xml:space="preserve">сделка привела к тому, что отдельному кредитору оказано или может быть оказано большее предпочтение в отношении удовлетворения требований, существовавших до совершения оспариваемой сделки,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2 ст. 61.3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Сделка, указанная в пункте 1 настоящей статьи, может быть признана арбитражным судом недействительной,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3 ст. 61.3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Сделка, указанная в пункте 1 настоящей статьи и совершенная должником в течение шести месяцев до принятия арбитражным судом заявления о признании должника банкротом, может быть признана арбитражным судом недействительной, если в наличии имеются условия, предусмотренные абзацами вторым и третьим пункта 1 настоящей статьи, или если установлено, что кредитору или иному лицу, в отношении которого совершена такая сделка, было известно о признаке неплатежеспособности или недостаточности имущества либо об обстоятельствах, которые позволяют сделать вывод о признаке неплатежеспособности или недостаточности имущества.</w:t>
      </w:r>
    </w:p>
    <w:p>
      <w:pPr>
        <w:spacing w:after="120"/>
        <w:ind w:firstLine="709"/>
      </w:pPr>
      <w:r>
        <w:rPr>
          <w:sz w:val="24"/>
        </w:rPr>
        <w:t xml:space="preserve">Предполагается, что заинтересованное лицо знало о признаке неплатежеспособности или недостаточности имущества, если не доказано обратное.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61.3</dc:title>
  <dc:creator>АРБИТРАЖ! · arbi.ru</dc:creator>
  <cp:lastModifiedBy>АРБИТРАЖ!</cp:lastModifiedBy>
  <dcterms:created xsi:type="dcterms:W3CDTF">2026-10-22T16:47:21.784Z</dcterms:created>
</cp:coreProperties>
</file>