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61.7</w:t>
      </w:r>
    </w:p>
    <w:p>
      <w:pPr>
        <w:spacing w:after="120"/>
        <w:ind w:firstLine="709"/>
      </w:pPr>
      <w:r>
        <w:rPr>
          <w:sz w:val="24"/>
        </w:rPr>
        <w:t xml:space="preserve">- Новый должник хочет признать договор о переводе долга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Арбитражный суд может отказать в признании сделки недействительной в случае, если стоимость имущества, приобретенного должником в результате оспариваемой сделки, превышает стоимость того, что может быть возвращено в конкурсную массу в результате оспаривания сделки, или если приобретатель по недействительной сделке вернул все исполненное в конкурсную массу.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61.7</dc:title>
  <dc:creator>АРБИТРАЖ! · arbi.ru</dc:creator>
  <cp:lastModifiedBy>АРБИТРАЖ!</cp:lastModifiedBy>
  <dcterms:created xsi:type="dcterms:W3CDTF">2026-10-22T22:02:19.011Z</dcterms:created>
</cp:coreProperties>
</file>