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оспаривании сделки должника подается в арбитражный суд, рассматривающий дело о банкротстве должника, и подлежит рассмотрению в деле о банкротстве должника.</w:t>
      </w:r>
    </w:p>
    <w:p>
      <w:pPr>
        <w:spacing w:after="120"/>
        <w:ind w:firstLine="709"/>
      </w:pPr>
      <w:r>
        <w:rPr>
          <w:sz w:val="24"/>
        </w:rPr>
        <w:t xml:space="preserve">2. Судебное заседание арбитражного суда по заявлению об оспаривании сделки должника проводится судьей арбитражного суда в порядке, установленном Арбитражным процессуальным кодексом Российской Федерации, с особенностями , предусмотренными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Форма и содержание заявления об оспаривании сделки должника в деле о банкротстве и порядок его подачи в арбитражный суд должны отвечать требованиям, предъявляемым к исковому заявлению в соответствии с Арбитражным процессуальным кодексом Российской Федерации. Заявитель обязан направить кредиторам или иным лицам, в отношении которых совершена оспариваемая сделка, копии заявления и прилагаемых к нему документов заказным письмом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4. Кредиторы или иные лица, в отношении которых совершена оспариваемая сделка или о правах и об обязанностях которых может быть принят судебный акт в отношении оспариваемой сделки, являются лицами, участвующими в рассмотрении арбитражным судом заявления об оспаривании сделки должника.</w:t>
      </w:r>
    </w:p>
    <w:p>
      <w:pPr>
        <w:spacing w:after="120"/>
        <w:ind w:firstLine="709"/>
      </w:pPr>
      <w:r>
        <w:rPr>
          <w:sz w:val="24"/>
        </w:rPr>
        <w:t xml:space="preserve">Указанные лица в отношении существа заявленных требований по оспариваемой сделке имеют право знакомиться с материалами дела, делать выписки из них, снимать копии; заявлять отводы; представлять доказательства и знакомиться с доказательствами, представленными другими лицами, участвующими в рассмотрении арбитражным судом заявления об оспаривании сделки должника, до начала судебного разбирательства; участвовать в исследовании доказательств; задавать вопросы другим лицам, участвующим в рассмотрении арбитражным судом заявления об оспаривании сделок должника, заявлять ходатайства, делать заявления, давать объяснения арбитражному суду, приводить свои доводы по всем возникающим в ходе рассмотрения дела вопросам; знакомиться с ходатайствами, заявленными другими лицами, участвующими в рассмотрении арбитражным судом заявления об оспаривании сделки должника, возражать против ходатайств, доводов других лиц, участвующих в рассмотрении арбитражным судом заявления об оспаривании сделки должника; знать о жалобах, поданных другими лицами, участвующими в рассмотрении арбитражным судом заявления об оспаривании сделки должника, о принятых по данному делу судебных актах и получать копии судебных актов, принимаемых в виде отдельного документа, обжаловать определения, вынесенные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5. Судья арбитражного суда уведомляет о времени и месте судебного заседания лицо, направившее заявление об оспаривании сделки должника, должника и лицо, в отношении которого совершена оспариваемая сделка.</w:t>
      </w:r>
    </w:p>
    <w:p>
      <w:pPr>
        <w:spacing w:after="120"/>
        <w:ind w:firstLine="709"/>
      </w:pPr>
      <w:r>
        <w:rPr>
          <w:sz w:val="24"/>
        </w:rPr>
        <w:t xml:space="preserve">6. По результатам рассмотрения заявления об оспаривании сделки должника суд выносит одно из следующих определений:</w:t>
      </w:r>
    </w:p>
    <w:p>
      <w:pPr>
        <w:spacing w:after="120"/>
        <w:ind w:firstLine="709"/>
      </w:pPr>
      <w:r>
        <w:rPr>
          <w:sz w:val="24"/>
        </w:rPr>
        <w:t xml:space="preserve">о признании сделки должника недействительной и (или) применении последствий недействительности ничтожной сделки;</w:t>
      </w:r>
    </w:p>
    <w:p>
      <w:pPr>
        <w:spacing w:after="120"/>
        <w:ind w:firstLine="709"/>
      </w:pPr>
      <w:r>
        <w:rPr>
          <w:sz w:val="24"/>
        </w:rPr>
        <w:t xml:space="preserve">об отказе в удовлетворении заявления о признании сделки должника недействительной.</w:t>
      </w:r>
    </w:p>
    <w:p>
      <w:pPr>
        <w:spacing w:after="120"/>
        <w:ind w:firstLine="709"/>
      </w:pPr>
      <w:r>
        <w:rPr>
          <w:sz w:val="24"/>
        </w:rPr>
        <w:t xml:space="preserve">Определение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III.2. Ответственность руководителя должника и иных лиц в деле о банкротстве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61.8</dc:title>
  <dc:creator>АРБИТРАЖ! · arbi.ru</dc:creator>
  <cp:lastModifiedBy>АРБИТРАЖ!</cp:lastModifiedBy>
  <dcterms:created xsi:type="dcterms:W3CDTF">2026-10-22T23:04:46.270Z</dcterms:created>
</cp:coreProperties>
</file>