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настоящим Федеральным законом, в целях настоящего Федерального закона под контролирующим должника лицом понимается физическое или юридическое лицо, имеющее либо имевшее не более чем за три года, предшествующих возникновению признаков банкротства, а также после их возникновения до принятия арбитражным судом заявления о признании должника банкротом право давать обязательные для исполнения должником указания или возможность иным образом определять действия должника, в том числе по совершению сделок и определению их условий.</w:t>
      </w:r>
    </w:p>
    <w:p>
      <w:pPr>
        <w:spacing w:after="120"/>
        <w:ind w:firstLine="709"/>
      </w:pPr>
      <w:r>
        <w:rPr>
          <w:sz w:val="24"/>
        </w:rPr>
        <w:t xml:space="preserve">2. Возможность определять действия должника может достигаться:</w:t>
      </w:r>
    </w:p>
    <w:p>
      <w:pPr>
        <w:spacing w:after="120"/>
        <w:ind w:firstLine="709"/>
      </w:pPr>
      <w:r>
        <w:rPr>
          <w:sz w:val="24"/>
        </w:rPr>
        <w:t xml:space="preserve">1) в силу нахождения с должником (руководителем или членами органов управления должника) в отношениях родства или свойства, должностного положения;</w:t>
      </w:r>
    </w:p>
    <w:p>
      <w:pPr>
        <w:spacing w:after="120"/>
        <w:ind w:firstLine="709"/>
      </w:pPr>
      <w:r>
        <w:rPr>
          <w:sz w:val="24"/>
        </w:rPr>
        <w:t xml:space="preserve">2) в силу наличия полномочий совершать сделки от имени должника, основанных на доверенности, нормативном правовом акте либо ином специальном полномочии;</w:t>
      </w:r>
    </w:p>
    <w:p>
      <w:pPr>
        <w:spacing w:after="120"/>
        <w:ind w:firstLine="709"/>
      </w:pPr>
      <w:r>
        <w:rPr>
          <w:sz w:val="24"/>
        </w:rPr>
        <w:t xml:space="preserve">3) в силу должностного положения (в частности, замещения должности главного бухгалтера, финансового директора должника либо лиц, указанных в подпункте 2 пункта 4 настоящей статьи, а также иной должности, предоставляющей возможность определять действия должника);</w:t>
      </w:r>
    </w:p>
    <w:p>
      <w:pPr>
        <w:spacing w:after="120"/>
        <w:ind w:firstLine="709"/>
      </w:pPr>
      <w:r>
        <w:rPr>
          <w:sz w:val="24"/>
        </w:rPr>
        <w:t xml:space="preserve">4) иным образом, в том числе путем принуждения руководителя или членов органов управления должника либо оказания определяющего влияния на руководителя или членов органов управления должника иным образом.</w:t>
      </w:r>
    </w:p>
    <w:p>
      <w:pPr>
        <w:spacing w:after="120"/>
        <w:ind w:firstLine="709"/>
      </w:pPr>
      <w:r>
        <w:rPr>
          <w:sz w:val="24"/>
        </w:rPr>
        <w:t xml:space="preserve">3. Сокрытие должником, и (или) контролирующим должника лицом, и (или) иными заинтересованными по отношению к ним лицами признаков неплатежеспособности и (или) недостаточности имущества не влияет на определение даты возникновения признаков банкротства для целей применения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4. Пока не доказано иное, предполагается, что лицо являлось контролирующим должника лицом, если это лицо:</w:t>
      </w:r>
    </w:p>
    <w:p>
      <w:pPr>
        <w:spacing w:after="120"/>
        <w:ind w:firstLine="709"/>
      </w:pPr>
      <w:r>
        <w:rPr>
          <w:sz w:val="24"/>
        </w:rPr>
        <w:t xml:space="preserve">1) являлось руководителем должника или управляющей организации должника, членом исполнительного органа должника, ликвидатором должника, членом ликвидационной комиссии;</w:t>
      </w:r>
    </w:p>
    <w:p>
      <w:pPr>
        <w:spacing w:after="120"/>
        <w:ind w:firstLine="709"/>
      </w:pPr>
      <w:r>
        <w:rPr>
          <w:sz w:val="24"/>
        </w:rPr>
        <w:t xml:space="preserve">2) имело право самостоятельно либо совместно с заинтересованными лицами распоряжаться пятьюдесятью и более процентами голосующих акций акционерного общества, или более чем половиной долей уставного капитала общества с ограниченной (дополнительной) ответственностью, или более чем половиной голосов в общем собрании участников юридического лица либо имело право назначать (избирать) руководителя должника;</w:t>
      </w:r>
    </w:p>
    <w:p>
      <w:pPr>
        <w:spacing w:after="120"/>
        <w:ind w:firstLine="709"/>
      </w:pPr>
      <w:r>
        <w:rPr>
          <w:sz w:val="24"/>
        </w:rPr>
        <w:t xml:space="preserve">3) извлекало выгоду из незаконного или недобросовестного поведения лиц, указанных в пункте 1 статьи 53.1 Гражданского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может признать лицо контролирующим должника лицом по иным основаниям.</w:t>
      </w:r>
    </w:p>
    <w:p>
      <w:pPr>
        <w:spacing w:after="120"/>
        <w:ind w:firstLine="709"/>
      </w:pPr>
      <w:r>
        <w:rPr>
          <w:sz w:val="24"/>
        </w:rPr>
        <w:t xml:space="preserve">6. К контролирующим должника лицам не могут быть отнесены лица, если такое отнесение связано исключительно с прямым владением менее чем десятью процентами уставного капитала юридического лица и получением обычного дохода, связанного с этим владением.</w:t>
      </w:r>
    </w:p>
    <w:p/>
    <w:p>
      <w:pPr>
        <w:spacing w:after="120"/>
        <w:ind w:firstLine="709"/>
      </w:pPr>
      <w:r>
        <w:rPr>
          <w:sz w:val="24"/>
        </w:rPr>
        <w:t xml:space="preserve">Глава III.1. Оспаривание сделок должника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61.10</dc:title>
  <dc:creator>АРБИТРАЖ! · arbi.ru</dc:creator>
  <cp:lastModifiedBy>АРБИТРАЖ!</cp:lastModifiedBy>
  <dcterms:created xsi:type="dcterms:W3CDTF">2026-10-23T01:55:39.001Z</dcterms:created>
</cp:coreProperties>
</file>