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61.9</w:t>
      </w:r>
    </w:p>
    <w:p>
      <w:pPr>
        <w:spacing w:after="120"/>
        <w:ind w:firstLine="709"/>
      </w:pPr>
      <w:r>
        <w:rPr>
          <w:sz w:val="24"/>
        </w:rPr>
        <w:t xml:space="preserve">- Кредитор (конкурсный управляющий) хочет признать договор о переводе долга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Кредитор хочет признать соглашение о расторжении договора поручительства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1 ст. 61.9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кредиторов, при этом срок исковой давности исчисляется с момента, когда арбитражный управляющий узнал или должен был узнать о наличии оснований для оспаривания сделки, предусмотренных настоящим Федеральным законом. Голоса кредитора, в отношении которого или в отношении аффилированных лиц которого совершена сделка, не учитываются при определении кворума и принятии решения собранием (комитетом) кредиторов по вопросу о подаче заявления об оспаривании этой сделки. Если заявление об оспаривании сделки во исполнение решения собрания (комитета) кредиторов не будет подано арбитражным управляющим в течение установленного данным решением срока, такое заявление может быть подано представителем собрания (комитета) кредиторов или иным лицом, уполномоченным решением собрания (комитета) кредиторов.</w:t>
      </w:r>
    </w:p>
    <w:p>
      <w:pPr>
        <w:spacing w:after="120"/>
        <w:ind w:firstLine="709"/>
      </w:pPr>
      <w:r>
        <w:rPr>
          <w:sz w:val="24"/>
        </w:rPr>
        <w:t xml:space="preserve">2. Заявление об оспаривании сделки должника может быть подано в арбитражный суд наряду с лицами, указанными в пункте 1 настоящей статьи, конкурсным кредитором или уполномоченным органом, если размер кредиторской задолженности перед ним, включенной в реестр требований кредиторов, составляет более десяти процентов общего размера кредиторской задолженности, включенной в реестр требований кредиторов, не считая размера требований кредитора, в отношении которого сделка оспаривается, и его аффилированных лиц.</w:t>
      </w:r>
    </w:p>
    <w:p>
      <w:pPr>
        <w:spacing w:after="120"/>
        <w:ind w:firstLine="709"/>
      </w:pPr>
      <w:r>
        <w:rPr>
          <w:sz w:val="24"/>
        </w:rPr>
        <w:t xml:space="preserve">3. В случаях, установленных настоящим Федеральным законом, заявление об оспаривании сделки должника может быть подано в арбитражный суд временной администрацией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4. Требование руководителя временной администрации финансовой организации о признании сделки недействительной и применении последствий ее недействительности предъявляется им от имени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5. Заявление руководителя временной администрации финансовой организации о признании сделки недействительной по основаниям, предусмотренным статьей 61.2 или 61.3 настоящего Федерального закона, а также по основаниям, связанным с нарушением правил настоящего Федерального закона, подается в арбитражный суд по месту нахождения финансовой организации, а с момента возбуждения дела о банкротстве финансовой организации и до даты признания ее банкротом - в деле о банкротстве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6. Дела о признании сделок недействительными, возбужденные арбитражным судом по иску руководителя временной администрации финансовой организации до даты признания ее банкротом, после такой даты подлежат объединению с делом о ее банкротстве и подлежат дальнейшему рассмотрению в этом деле. Такое объединение производится арбитражным судом, рассматривающим дело о банкротстве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7. Периоды, в течение которых совершены сделки, которые могут быть признаны недействительными ( статьи 61.2 и 61.3 настоящего Федерального закона), или периоды, в течение которых возникли обязательства финансовой организации, указанные в пункте 4 статьи 61.6 настоящего Федерального закона, исчисляются от даты назначения Банком России временной администрации финансовой организации либо от даты вынесения арбитражным судом определения о принятии заявления о признании финансовой организации банкротом в зависимости от того, какое из событий наступило ранее.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Срок исковой давности по требованию руководителя временной администрации финансовой организации о признании сделки недействительной по основаниям, предусмотренным статьей 61.2 или 61.3 настоящего Федерального закона, исчисляется со дня, когда временная администрация узнала или должна была узнать о наличии таких оснований, а также о наличии у финансовой организации признаков банкротства, в зависимости от того, какое из событий наступило позднее.</w:t>
      </w:r>
    </w:p>
    <w:p/>
    <w:p>
      <w:pPr>
        <w:spacing w:after="120"/>
        <w:ind w:firstLine="709"/>
      </w:pPr>
      <w:r>
        <w:rPr>
          <w:sz w:val="24"/>
        </w:rPr>
        <w:t xml:space="preserve">Глава III.2. Ответственность руководителя должника и иных лиц в деле о банкротстве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61.9</dc:title>
  <dc:creator>АРБИТРАЖ! · arbi.ru</dc:creator>
  <cp:lastModifiedBy>АРБИТРАЖ!</cp:lastModifiedBy>
  <dcterms:created xsi:type="dcterms:W3CDTF">2026-10-22T23:04:24.150Z</dcterms:created>
</cp:coreProperties>
</file>