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В рамках рассмотрения заявления о привлечении к ответственности по правилам настоящей главы может быть заключено соглашение по правилам главы 15 Арбитражного процессуального кодекса Российской Федерации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Соглашение может быть утверждено арбитражным судом только при раскрытии ответчиком сведений об имуществе в размере, достаточном для исполнения соглашения.</w:t>
      </w:r>
    </w:p>
    <w:p>
      <w:pPr>
        <w:spacing w:after="120"/>
        <w:ind w:firstLine="709"/>
      </w:pPr>
      <w:r>
        <w:rPr>
          <w:sz w:val="24"/>
        </w:rPr>
        <w:t xml:space="preserve">3. Соглашение может быть утверждено только в отношении всех лиц на стороне лица, подавшего заявление о привлечении к ответственности, и в отношении всех лиц на стороне лица, привлекаемого к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4. Соглашение заключается при единогласном одобрении его условий (в том числе о предоставлении отступного, обмена требований на доли в уставном капитале, акции, конвертируемые в акции облигации или иные ценные бумаги, новации обязательства и т.п.) всеми лицами на стороне лица, подавшего заявление о привлечении к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5. По согласию отдельного кредитора, выраженному в письменной форме, соглашение может содержать положения о прекращении обязательств ответчика путем прощения всего долга или его части и (или) понижения очередности исполнения требований такого кредитора.</w:t>
      </w:r>
    </w:p>
    <w:p>
      <w:pPr>
        <w:spacing w:after="120"/>
        <w:ind w:firstLine="709"/>
      </w:pPr>
      <w:r>
        <w:rPr>
          <w:sz w:val="24"/>
        </w:rPr>
        <w:t xml:space="preserve">6. В случае неисполнения соглашения кредиторы вправе обратиться в арбитражный суд, рассматривавший заявление о привлечении к субсидиарной ответственности, для получения исполнительного листа по взысканию оставшихся непогашенными требований. Исполнительные листы выдаются по правилам пункта 4 статьи 61.17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61.21</dc:title>
  <dc:creator>АРБИТРАЖ! · arbi.ru</dc:creator>
  <cp:lastModifiedBy>АРБИТРАЖ!</cp:lastModifiedBy>
  <dcterms:created xsi:type="dcterms:W3CDTF">2026-10-23T00:42:31.445Z</dcterms:created>
</cp:coreProperties>
</file>