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64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истребует документацию и иные ценности должника у его бывшего руководителя (управляющего)</w:t>
      </w:r>
    </w:p>
    <w:p>
      <w:pPr>
        <w:spacing w:after="120"/>
        <w:ind w:firstLine="709"/>
      </w:pPr>
      <w:r>
        <w:rPr>
          <w:sz w:val="24"/>
        </w:rPr>
        <w:t xml:space="preserve">1. Введение наблюдения не является основанием для отстранения руководителя должника и иных органов управления должника, которые продолжают осуществлять свои полномочия с ограничениями, установленными пунктами 2 , 3 и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Органы управления должника могут совершать исключительно с согласия временного управляющего, выраженного в письменной форме, за исключением случаев, прямо предусмотренных настоящим Федеральным законом, сделки или несколько взаимосвязанных между собой сделок:</w:t>
      </w:r>
    </w:p>
    <w:p>
      <w:pPr>
        <w:spacing w:after="120"/>
        <w:ind w:firstLine="709"/>
      </w:pPr>
      <w:r>
        <w:rPr>
          <w:sz w:val="24"/>
        </w:rPr>
        <w:t xml:space="preserve">связанных с приобретением, отчуждением или возможностью отчуждения прямо либо косвенно имущества должника, балансовая стоимость которого составляет более пяти процентов балансовой стоимости активов должника на дату введения наблюдения;</w:t>
      </w:r>
    </w:p>
    <w:p>
      <w:pPr>
        <w:spacing w:after="120"/>
        <w:ind w:firstLine="709"/>
      </w:pPr>
      <w:r>
        <w:rPr>
          <w:sz w:val="24"/>
        </w:rPr>
        <w:t xml:space="preserve">связанных с получением и выдачей займов (кредитов), выдачей поручительств и гарантий, уступкой прав требования, переводом долга, а также с учреждением доверительного управления имуществом должника.</w:t>
      </w:r>
    </w:p>
    <w:p>
      <w:pPr>
        <w:spacing w:after="120"/>
        <w:ind w:firstLine="709"/>
      </w:pPr>
      <w:r>
        <w:rPr>
          <w:sz w:val="24"/>
        </w:rPr>
        <w:t xml:space="preserve">3. Органы управления должника не вправе принимать решения:</w:t>
      </w:r>
    </w:p>
    <w:p>
      <w:pPr>
        <w:spacing w:after="120"/>
        <w:ind w:firstLine="709"/>
      </w:pPr>
      <w:r>
        <w:rPr>
          <w:sz w:val="24"/>
        </w:rPr>
        <w:t xml:space="preserve">о реорганизации (слиянии, присоединении, разделении, выделении, преобразовании) и ликвидации должника;</w:t>
      </w:r>
    </w:p>
    <w:p>
      <w:pPr>
        <w:spacing w:after="120"/>
        <w:ind w:firstLine="709"/>
      </w:pPr>
      <w:r>
        <w:rPr>
          <w:sz w:val="24"/>
        </w:rPr>
        <w:t xml:space="preserve">о создании юридических лиц или об участии должника в иных юридических лицах;</w:t>
      </w:r>
    </w:p>
    <w:p>
      <w:pPr>
        <w:spacing w:after="120"/>
        <w:ind w:firstLine="709"/>
      </w:pPr>
      <w:r>
        <w:rPr>
          <w:sz w:val="24"/>
        </w:rPr>
        <w:t xml:space="preserve">о создании филиалов и представительств;</w:t>
      </w:r>
    </w:p>
    <w:p>
      <w:pPr>
        <w:spacing w:after="120"/>
        <w:ind w:firstLine="709"/>
      </w:pPr>
      <w:r>
        <w:rPr>
          <w:sz w:val="24"/>
        </w:rPr>
        <w:t xml:space="preserve">о выплате дивидендов или распределении прибыли должника между его учредителями (участниками);</w:t>
      </w:r>
    </w:p>
    <w:p>
      <w:pPr>
        <w:spacing w:after="120"/>
        <w:ind w:firstLine="709"/>
      </w:pPr>
      <w:r>
        <w:rPr>
          <w:sz w:val="24"/>
        </w:rPr>
        <w:t xml:space="preserve">о размещении должником облигаций и иных эмиссионных ценных бумаг, за исключением акций;</w:t>
      </w:r>
    </w:p>
    <w:p>
      <w:pPr>
        <w:spacing w:after="120"/>
        <w:ind w:firstLine="709"/>
      </w:pPr>
      <w:r>
        <w:rPr>
          <w:sz w:val="24"/>
        </w:rPr>
        <w:t xml:space="preserve">о выходе из состава учредителей (участников) должника, приобретении у акционеров ранее размещенных акций;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создании ассоциаций (союзов) и иных объединений юридических лиц или граждан и юридических лиц и об участии, в том числе о прекращении участия, в ассоциациях (союзах) и иных объединениях юридических лиц или граждан и юридических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заключении договоров простого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3.1. Собственник имущества должника - унитарного предприятия не вправе: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 реорганизации (слиянии, присоединении, разделении, выделении, преобразовании) и ликвидации должника;</w:t>
      </w:r>
    </w:p>
    <w:p>
      <w:pPr>
        <w:spacing w:after="120"/>
        <w:ind w:firstLine="709"/>
      </w:pPr>
      <w:r>
        <w:rPr>
          <w:sz w:val="24"/>
        </w:rPr>
        <w:t xml:space="preserve">давать согласие на создание должником юридических лиц или участие должника в иных юридических лицах;</w:t>
      </w:r>
    </w:p>
    <w:p>
      <w:pPr>
        <w:spacing w:after="120"/>
        <w:ind w:firstLine="709"/>
      </w:pPr>
      <w:r>
        <w:rPr>
          <w:sz w:val="24"/>
        </w:rPr>
        <w:t xml:space="preserve">давать согласие на создание филиалов и открытие представительств должника;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 размещении должником облигаций и иных эмиссионных ценных бумаг.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3.2. Не позднее пятнадцати дней с даты утверждения временного управляющего руководитель должника обязан предоставить временному управляющему и направить в арбитражный суд перечень имущества должника, в том числе имущественных прав, а также бухгалтерские и иные документы, отражающие экономическую деятельность должника за три года до введения наблюдения. Ежемесячно руководитель должника обязан информировать временного управляющего об изменениях в составе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4. Руководитель должника в течение десяти дней с даты вынесения определения о введении наблюдения обязан обратиться к учредителям (участникам) должника с предложением провести общее собрание учредителей (участников) должника, к собственнику имущества должника - унитарного предприятия для рассмотрения вопросов об обращении к первому собранию кредиторов должника с предложением о введении в отношении должника финансового оздоровления, проведении дополнительной эмиссии акций и иных предусмотренных настоящим Федеральным законом вопросов.</w:t>
      </w:r>
    </w:p>
    <w:p>
      <w:pPr>
        <w:spacing w:after="120"/>
        <w:ind w:firstLine="709"/>
      </w:pPr>
      <w:r>
        <w:rPr>
          <w:sz w:val="24"/>
        </w:rPr>
        <w:t xml:space="preserve">5. Должник вправе осуществить увеличение своего уставного капитала путем размещения по закрытой подписке дополнительных обыкновенных акций за счет дополнительных вкладов своих учредителей (участников) и третьих лиц в порядке, установленном федеральными законами и учредительными документами должника. В этом случае государственная регистрация отчета об итогах выпуска дополнительных обыкновенных акций и изменений учредительных документов должника должна быть осуществлена до даты судебного заседания по рассмотрению дела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64</dc:title>
  <dc:creator>АРБИТРАЖ! · arbi.ru</dc:creator>
  <cp:lastModifiedBy>АРБИТРАЖ!</cp:lastModifiedBy>
  <dcterms:created xsi:type="dcterms:W3CDTF">2026-10-22T18:04:35.173Z</dcterms:created>
</cp:coreProperties>
</file>