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Временный управляющий утверждается арбитражным судом в порядке, предусмотренном статьей 45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Временный управляющий может быть отстранен арбитражным судом от исполнения обязанностей временного управляющего:</w:t>
      </w:r>
    </w:p>
    <w:p>
      <w:pPr>
        <w:spacing w:after="120"/>
        <w:ind w:firstLine="709"/>
      </w:pPr>
      <w:r>
        <w:rPr>
          <w:sz w:val="24"/>
        </w:rPr>
        <w:t xml:space="preserve">в связи с удовлетворением арбитражным судом жалобы лица, участвующего в деле о банкротстве, на неисполнение или ненадлежащее исполнение временным управляющим возложенных на него обязанностей при условии, что такое неисполнение или ненадлежащее исполнение обязанностей нарушило права или законные интересы заявителя жалобы, а также повлекло или могло повлечь за собой убытки должника или его кредиторов;</w:t>
      </w:r>
    </w:p>
    <w:p>
      <w:pPr>
        <w:spacing w:after="120"/>
        <w:ind w:firstLine="709"/>
      </w:pPr>
      <w:r>
        <w:rPr>
          <w:sz w:val="24"/>
        </w:rPr>
        <w:t xml:space="preserve">в случае выявления обстоятельств , препятствовавших утверждению лица временным управляющим, в том числе в случае, если такие обстоятельства возникли после утверждения лица временным управляющим;</w:t>
      </w:r>
    </w:p>
    <w:p>
      <w:pPr>
        <w:spacing w:after="120"/>
        <w:ind w:firstLine="709"/>
      </w:pPr>
      <w:r>
        <w:rPr>
          <w:sz w:val="24"/>
        </w:rPr>
        <w:t xml:space="preserve">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организации, нарушения арбитражным управляющим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в иных предусмотренных федеральным законом случаях.</w:t>
      </w:r>
    </w:p>
    <w:p>
      <w:pPr>
        <w:spacing w:after="120"/>
        <w:ind w:firstLine="709"/>
      </w:pPr>
      <w:r>
        <w:rPr>
          <w:sz w:val="24"/>
        </w:rPr>
        <w:t xml:space="preserve">4. Временный управляющий может быть освобожден арбитражным судом от исполнения возложенных на него обязанностей в деле о банкротстве на основании:</w:t>
      </w:r>
    </w:p>
    <w:p>
      <w:pPr>
        <w:spacing w:after="120"/>
        <w:ind w:firstLine="709"/>
      </w:pPr>
      <w:r>
        <w:rPr>
          <w:sz w:val="24"/>
        </w:rPr>
        <w:t xml:space="preserve">его заявления;</w:t>
      </w:r>
    </w:p>
    <w:p>
      <w:pPr>
        <w:spacing w:after="120"/>
        <w:ind w:firstLine="709"/>
      </w:pPr>
      <w:r>
        <w:rPr>
          <w:sz w:val="24"/>
        </w:rPr>
        <w:t xml:space="preserve">ходатайства саморегулируемой организации арбитражных управляющих, членом которой он является, в случае выхода арбитражного управляющего из саморегулируемой организации или ходатайства саморегулируемой организации арбитражных управляющих, принятого этой организацией в соответствии с пунктом 2 статьи 20.5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30.12.2008 N 296-ФЗ)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65</dc:title>
  <dc:creator>АРБИТРАЖ! · arbi.ru</dc:creator>
  <cp:lastModifiedBy>АРБИТРАЖ!</cp:lastModifiedBy>
  <dcterms:created xsi:type="dcterms:W3CDTF">2026-10-22T20:17:40.980Z</dcterms:created>
</cp:coreProperties>
</file>