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Временный управляющий обязан:</w:t>
      </w:r>
    </w:p>
    <w:p>
      <w:pPr>
        <w:spacing w:after="120"/>
        <w:ind w:firstLine="709"/>
      </w:pPr>
      <w:r>
        <w:rPr>
          <w:sz w:val="24"/>
        </w:rPr>
        <w:t xml:space="preserve">принимать меры по обеспечению сохранности имущества должника;</w:t>
      </w:r>
    </w:p>
    <w:p>
      <w:pPr>
        <w:spacing w:after="120"/>
        <w:ind w:firstLine="709"/>
      </w:pPr>
      <w:r>
        <w:rPr>
          <w:sz w:val="24"/>
        </w:rPr>
        <w:t xml:space="preserve">проводить анализ финансового состояния должника;</w:t>
      </w:r>
    </w:p>
    <w:p>
      <w:pPr>
        <w:spacing w:after="120"/>
        <w:ind w:firstLine="709"/>
      </w:pPr>
      <w:r>
        <w:rPr>
          <w:sz w:val="24"/>
        </w:rPr>
        <w:t xml:space="preserve">выявлять кредиторов должника;</w:t>
      </w:r>
    </w:p>
    <w:p>
      <w:pPr>
        <w:spacing w:after="120"/>
        <w:ind w:firstLine="709"/>
      </w:pPr>
      <w:r>
        <w:rPr>
          <w:sz w:val="24"/>
        </w:rPr>
        <w:t xml:space="preserve">вести реестр требований кредиторов, за исключением случаев, предусмотренных настоящим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уведомлять кредиторов о введении наблюдения;</w:t>
      </w:r>
    </w:p>
    <w:p>
      <w:pPr>
        <w:spacing w:after="120"/>
        <w:ind w:firstLine="709"/>
      </w:pPr>
      <w:r>
        <w:rPr>
          <w:sz w:val="24"/>
        </w:rPr>
        <w:t xml:space="preserve">созывать и проводить первое собрание кредиторов.</w:t>
      </w:r>
    </w:p>
    <w:p>
      <w:pPr>
        <w:spacing w:after="120"/>
        <w:ind w:firstLine="709"/>
      </w:pPr>
      <w:r>
        <w:rPr>
          <w:sz w:val="24"/>
        </w:rPr>
        <w:t xml:space="preserve">2. Временный управляющий обязан представить в арбитражный суд отчет о своей деятельности и протокол первого собрания кредиторов с приложением документов, определенных пунктом 7 статьи 12 настоящего Федерального закона, не позднее чем за пять дней до даты заседания арбитражного суда, указанной в определении арбитражного суда о введении наблюдения.</w:t>
      </w:r>
    </w:p>
    <w:p>
      <w:pPr>
        <w:spacing w:after="120"/>
        <w:ind w:firstLine="709"/>
      </w:pPr>
      <w:r>
        <w:rPr>
          <w:sz w:val="24"/>
        </w:rPr>
        <w:t xml:space="preserve">К отчету временного управляющего прилагаются:</w:t>
      </w:r>
    </w:p>
    <w:p>
      <w:pPr>
        <w:spacing w:after="120"/>
        <w:ind w:firstLine="709"/>
      </w:pPr>
      <w:r>
        <w:rPr>
          <w:sz w:val="24"/>
        </w:rPr>
        <w:t xml:space="preserve">заключение о финансовом состоянии должника;</w:t>
      </w:r>
    </w:p>
    <w:p>
      <w:pPr>
        <w:spacing w:after="120"/>
        <w:ind w:firstLine="709"/>
      </w:pPr>
      <w:r>
        <w:rPr>
          <w:sz w:val="24"/>
        </w:rPr>
        <w:t xml:space="preserve">заключение о наличии или об отсутствии оснований для оспаривания сделок должника;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482-ФЗ)</w:t>
      </w:r>
    </w:p>
    <w:p>
      <w:pPr>
        <w:spacing w:after="120"/>
        <w:ind w:firstLine="709"/>
      </w:pPr>
      <w:r>
        <w:rPr>
          <w:sz w:val="24"/>
        </w:rPr>
        <w:t xml:space="preserve">обоснование возможности или невозможности восстановления платежеспособности должника, целесообразности введения последующих применяемых в деле о банкротстве процедур.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67</dc:title>
  <dc:creator>АРБИТРАЖ! · arbi.ru</dc:creator>
  <cp:lastModifiedBy>АРБИТРАЖ!</cp:lastModifiedBy>
  <dcterms:created xsi:type="dcterms:W3CDTF">2026-10-22T20:13:20.261Z</dcterms:created>
</cp:coreProperties>
</file>