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обязан направить для опубликования в порядке , установленном статьей 28 настоящего Федерального закона, сообщение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Руководитель должника обязан уведомить о вынесении арбитражным судом определения о введении наблюдения работников должника, учредителей (участников) должника, собственника имущества должника - унитарного предприятия в течение десяти дней с даты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4. Сообщение о введении наблюдения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наименование должника - юридического лица или фамилию, имя, отчество должника-гражданина и его адрес;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вынесшего определение о введении наблюдения, дату вынесения такого определения и номер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фамилию, имя, отчество утвержденного временного управляющего и адрес для направления корреспонденции временному управляющему;</w:t>
      </w:r>
    </w:p>
    <w:p>
      <w:pPr>
        <w:spacing w:after="120"/>
        <w:ind w:firstLine="709"/>
      </w:pPr>
      <w:r>
        <w:rPr>
          <w:sz w:val="24"/>
        </w:rPr>
        <w:t xml:space="preserve">установленную арбитражным судом дату судебного заседания по рассмотрению дела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68</dc:title>
  <dc:creator>АРБИТРАЖ! · arbi.ru</dc:creator>
  <cp:lastModifiedBy>АРБИТРАЖ!</cp:lastModifiedBy>
  <dcterms:created xsi:type="dcterms:W3CDTF">2026-10-22T19:08:24.763Z</dcterms:created>
</cp:coreProperties>
</file>