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Анализ финансового состояния должника проводится в целях определения достаточности принадлежащего должнику имущества для покрытия расходов в деле о банкротстве, в том числе расходов на выплату вознаграждения арбитражным управляющим, а также в целях определения возможности или невозможности восстановления платежеспособности должника в порядке и в сроки, которые установлены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в соответствии с законодательством Российской Федерации ведение бухгалтерского учета и составление финансовой (бухгалтерской) отчетности должника подлежат обязательному аудиту, анализ финансового состояния проводится на основании документов бухгалтерского учета и финансовой (бухгалтерской) отчетности должника, достоверность которых подтверждена аудитором.</w:t>
      </w:r>
    </w:p>
    <w:p>
      <w:pPr>
        <w:spacing w:after="120"/>
        <w:ind w:firstLine="709"/>
      </w:pPr>
      <w:r>
        <w:rPr>
          <w:sz w:val="24"/>
        </w:rPr>
        <w:t xml:space="preserve">При отсутствии документов бухгалтерского учета и финансовой (бухгалтерской) отчетности должника, достоверность которых подтверждена аудитором, в том числе в связи с неисполнением должником обязанности по проведению обязательного аудита, временный управляющий для проведения анализа финансового состояния должника привлекает аудитора, оплата услуг которого осуществляется за счет средств должника.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Временный управляющий на основе анализа финансового состояния должника, в том числе результатов инвентаризации имущества должника при их наличии, анализа документов, удостоверяющих государственную регистрацию прав собственности, осуществляет обоснование возможности или невозможности восстановления платежеспособности должника, обоснование целесообразности введения последующих применяемых в деле о банкротстве процедур.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70</dc:title>
  <dc:creator>АРБИТРАЖ! · arbi.ru</dc:creator>
  <cp:lastModifiedBy>АРБИТРАЖ!</cp:lastModifiedBy>
  <dcterms:created xsi:type="dcterms:W3CDTF">2026-10-22T23:05:14.884Z</dcterms:created>
</cp:coreProperties>
</file>