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72</w:t>
      </w:r>
    </w:p>
    <w:p>
      <w:pPr>
        <w:spacing w:after="120"/>
        <w:ind w:firstLine="709"/>
      </w:pPr>
      <w:r>
        <w:rPr>
          <w:sz w:val="24"/>
        </w:rPr>
        <w:t xml:space="preserve">- Кредитор (должник или его участник) оспаривает признание должника банкротом и открытие конкурсного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Временный управляющий определяет дату проведения первого собрания кредиторов и уведомляет об этом всех выявленных конкурсных кредиторов, уполномоченные органы, представителя работников должника и иных лиц, имеющих право на участие в первом собрании кредиторов. Уведомление о проведении первого собрания кредиторов осуществляется временным управляющим в порядке и в сроки, которые предусмотрены статьей 13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Первое собрание кредиторов должно состояться не позднее чем за десять дней до даты окончания наблюдения.</w:t>
      </w:r>
    </w:p>
    <w:p>
      <w:pPr>
        <w:spacing w:after="120"/>
        <w:ind w:firstLine="709"/>
      </w:pPr>
      <w:r>
        <w:rPr>
          <w:sz w:val="24"/>
        </w:rPr>
        <w:t xml:space="preserve">2. Участниками первого собрания кредиторов с правом голоса являются конкурсные кредиторы и уполномоченные органы, требования которых были предъявлены в порядке и в сроки, которые предусмотрены пунктом 1 статьи 71 настоящего Федерального закона, и внесены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3. В первом собрании кредиторов принимают участие без права голоса руководитель должника, представитель учредителей (участников) должника или представитель собственника имущества должника - унитарного предприятия, представитель работников должника и представитель органа по контролю (надзору). Отсутствие указанных лиц не является основанием для признания первого собрания кредиторов недействительным.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включения в реестр требований кредиторов только требований о выплате выходных пособий и (или) об оплате труда лиц, работающих или работавших по трудовому договору, и неудовлетворения указанных требований первое собрание кредиторов не проводится и арбитражный суд принимает решение о введении процедуры, применяемой в деле о банкротстве, в соответствии с абзацем вторым пункта 2 статьи 75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29.06.2015 N 186-ФЗ)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72</dc:title>
  <dc:creator>АРБИТРАЖ! · arbi.ru</dc:creator>
  <cp:lastModifiedBy>АРБИТРАЖ!</cp:lastModifiedBy>
  <dcterms:created xsi:type="dcterms:W3CDTF">2026-10-22T16:44:42.980Z</dcterms:created>
</cp:coreProperties>
</file>